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МИНИСТЕРСТВО НАУКИ И ВЫСШЕГО ОБРАЗОВАНИЯ 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t>РОС</w:t>
      </w:r>
      <w:bookmarkStart w:id="0" w:name="_GoBack"/>
      <w:bookmarkEnd w:id="0"/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t>СИЙСКОЙ ФЕДЕРАЦИИ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noProof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t xml:space="preserve">ФЕДЕРАЛЬНОЕ ГОСУДАРСТВЕННОЕ БЮДЖЕТНОЕ </w:t>
      </w:r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ОБРАЗОВАТЕЛЬНОЕ УЧРЕЖДЕНИЕ ВЫСШЕГО ОБРАЗОВАНИЯ</w:t>
      </w:r>
      <w:r w:rsidRPr="00140201">
        <w:rPr>
          <w:rFonts w:ascii="Times New Roman CYR" w:eastAsia="Times New Roman" w:hAnsi="Times New Roman CYR" w:cs="Times New Roman"/>
          <w:noProof/>
          <w:sz w:val="28"/>
          <w:lang w:eastAsia="ru-RU"/>
        </w:rPr>
        <w:br/>
        <w:t>«ДОНСКОЙ ГОСУДАРСТВЕННЫЙ ТЕХНИЧЕСКИЙ УНИВЕРСИТЕТ»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Calibri" w:hAnsi="Times New Roman CYR" w:cs="Times New Roman"/>
          <w:b/>
          <w:sz w:val="28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140201">
        <w:rPr>
          <w:rFonts w:ascii="Times New Roman CYR" w:eastAsia="Calibri" w:hAnsi="Times New Roman CYR" w:cs="Times New Roman"/>
          <w:sz w:val="28"/>
          <w:szCs w:val="24"/>
        </w:rPr>
        <w:t>Кафедра «Экономическая безопасность, учет и право»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МЕТОДИЧЕСКИЕ УКАЗАНИЯ 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ДЛЯ ВЫПОЛНЕНИЯ КОНТРОЛЬНОЙ РАБОТЫ 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ПО ДИСЦИПЛИНЕ 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«ФИНАНСОВАЯ ПОЛИТИКА ОРГАНИЗАЦИИ» </w:t>
      </w:r>
    </w:p>
    <w:p w:rsidR="00140201" w:rsidRPr="00140201" w:rsidRDefault="00140201" w:rsidP="00140201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Ростов-на-Дону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ДГТУ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2023</w:t>
      </w:r>
    </w:p>
    <w:p w:rsidR="00140201" w:rsidRPr="00140201" w:rsidRDefault="00140201" w:rsidP="00140201">
      <w:pPr>
        <w:spacing w:after="0" w:line="240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lastRenderedPageBreak/>
        <w:t xml:space="preserve">УДК </w:t>
      </w: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657.62</w:t>
      </w:r>
    </w:p>
    <w:p w:rsidR="00140201" w:rsidRPr="00140201" w:rsidRDefault="00140201" w:rsidP="00140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65.052.2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i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 xml:space="preserve">Составитель: </w:t>
      </w: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В.В. Лесняк</w:t>
      </w:r>
    </w:p>
    <w:p w:rsidR="00140201" w:rsidRPr="00140201" w:rsidRDefault="00140201" w:rsidP="00140201">
      <w:pPr>
        <w:spacing w:after="0" w:line="288" w:lineRule="auto"/>
        <w:rPr>
          <w:rFonts w:ascii="Times New Roman CYR" w:eastAsia="Times New Roman" w:hAnsi="Times New Roman CYR" w:cs="Times New Roman"/>
          <w:b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ind w:left="1560" w:firstLine="567"/>
        <w:jc w:val="both"/>
        <w:rPr>
          <w:rFonts w:ascii="Times New Roman CYR" w:eastAsia="Times New Roman" w:hAnsi="Times New Roman CYR" w:cs="Times New Roman"/>
          <w:b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 xml:space="preserve">Методические указания для выполнения контрольной работы по дисциплине «Финансовая политика организации». – </w:t>
      </w:r>
      <w:r w:rsidRPr="0014020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>Ростов-на-Дону</w:t>
      </w:r>
      <w:proofErr w:type="gramStart"/>
      <w:r w:rsidRPr="0014020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:</w:t>
      </w:r>
      <w:proofErr w:type="gramEnd"/>
      <w:r w:rsidRPr="00140201">
        <w:rPr>
          <w:rFonts w:ascii="Times New Roman CYR" w:eastAsia="Times New Roman" w:hAnsi="Times New Roman CYR" w:cs="Times New Roman"/>
          <w:sz w:val="28"/>
          <w:szCs w:val="23"/>
          <w:lang w:eastAsia="ru-RU"/>
        </w:rPr>
        <w:t xml:space="preserve"> Донской гос. техн. ун-т, 2023. – 21 с.</w:t>
      </w:r>
    </w:p>
    <w:p w:rsidR="00140201" w:rsidRPr="00140201" w:rsidRDefault="00140201" w:rsidP="0014020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 основные требования, предъявляемые к содержанию и оформлению </w:t>
      </w: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тематику, нормативные и учебно-методические материалы, необходимые для написания работы. </w:t>
      </w:r>
    </w:p>
    <w:p w:rsidR="00140201" w:rsidRPr="00140201" w:rsidRDefault="00140201" w:rsidP="00140201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"/>
          <w:sz w:val="28"/>
          <w:lang w:eastAsia="zh-CN"/>
        </w:rPr>
      </w:pPr>
      <w:r w:rsidRPr="00140201">
        <w:rPr>
          <w:rFonts w:ascii="Times New Roman CYR" w:eastAsia="Times New Roman" w:hAnsi="Times New Roman CYR" w:cs="Times New Roman"/>
          <w:sz w:val="28"/>
          <w:lang w:eastAsia="zh-CN"/>
        </w:rPr>
        <w:t>Предназначены для обучающихся заочной формы обучения направления подготовки 38.04.01 «Экономика», программа подготовки «Финансовый аналитик».</w:t>
      </w:r>
    </w:p>
    <w:p w:rsidR="00140201" w:rsidRPr="00140201" w:rsidRDefault="00140201" w:rsidP="00140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657</w:t>
      </w:r>
    </w:p>
    <w:p w:rsidR="00140201" w:rsidRPr="00140201" w:rsidRDefault="00140201" w:rsidP="00140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65.052.2</w:t>
      </w:r>
    </w:p>
    <w:p w:rsidR="00140201" w:rsidRPr="00140201" w:rsidRDefault="00140201" w:rsidP="00140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 xml:space="preserve">Печатается по решению редакционно-издательского совета </w:t>
      </w: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br/>
        <w:t>Донского государственного технического университета</w:t>
      </w: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jc w:val="center"/>
        <w:rPr>
          <w:rFonts w:ascii="Times New Roman CYR" w:eastAsia="Times New Roman" w:hAnsi="Times New Roman CYR" w:cs="Times New Roman"/>
          <w:sz w:val="28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Научный редактор д-р эк. наук, профессор Г.Е. Крохичева</w:t>
      </w:r>
    </w:p>
    <w:p w:rsidR="00140201" w:rsidRPr="00140201" w:rsidRDefault="00140201" w:rsidP="00140201">
      <w:pPr>
        <w:spacing w:after="0" w:line="288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«Экономическая безопасность, учет и право» д-р эк. наук, профессор </w:t>
      </w:r>
      <w:r w:rsidRPr="0014020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Г.Е. Крохичева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___.___.20___ г.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60×84/16.   Объем  ___ усл.</w:t>
      </w:r>
      <w:r w:rsidRPr="0014020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Pr="0014020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  Заказ № ___.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центр ДГТУ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140201" w:rsidRPr="00140201" w:rsidRDefault="00140201" w:rsidP="001402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:rsidR="00140201" w:rsidRPr="00140201" w:rsidRDefault="00140201" w:rsidP="00140201">
      <w:pPr>
        <w:spacing w:after="0" w:line="288" w:lineRule="auto"/>
        <w:rPr>
          <w:rFonts w:ascii="Times New Roman CYR" w:eastAsia="Times New Roman" w:hAnsi="Times New Roman CYR" w:cs="Times New Roman"/>
          <w:sz w:val="28"/>
          <w:lang w:eastAsia="ru-RU"/>
        </w:rPr>
      </w:pPr>
    </w:p>
    <w:p w:rsidR="00140201" w:rsidRPr="00140201" w:rsidRDefault="00140201" w:rsidP="00140201">
      <w:pPr>
        <w:spacing w:after="0" w:line="288" w:lineRule="auto"/>
        <w:ind w:left="5812" w:hanging="288"/>
        <w:rPr>
          <w:rFonts w:ascii="Times New Roman CYR" w:eastAsia="Times New Roman" w:hAnsi="Times New Roman CYR" w:cs="Times New Roman"/>
          <w:sz w:val="28"/>
          <w:szCs w:val="24"/>
          <w:lang w:eastAsia="ru-RU"/>
        </w:rPr>
      </w:pP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t>© Донской государственный</w:t>
      </w:r>
      <w:r w:rsidRPr="00140201">
        <w:rPr>
          <w:rFonts w:ascii="Times New Roman CYR" w:eastAsia="Times New Roman" w:hAnsi="Times New Roman CYR" w:cs="Times New Roman"/>
          <w:sz w:val="28"/>
          <w:lang w:eastAsia="ru-RU"/>
        </w:rPr>
        <w:br/>
        <w:t>технический университет, 2023</w:t>
      </w: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SimSun" w:hAnsi="Times New Roman" w:cs="Times New Roman"/>
          <w:b/>
          <w:kern w:val="2"/>
          <w:sz w:val="26"/>
          <w:szCs w:val="26"/>
          <w:lang w:eastAsia="zh-CN"/>
        </w:rPr>
        <w:br w:type="page"/>
      </w: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И ЗНАЧЕНИЕ 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Учебным планом направления подготовки 38.04.01 «Экономика», предусмотрено написание контрольной работы по дисциплине «Финансовая политика организации». 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является углубление знаний обучающихся по вопросам финансового анализа, формирования и реализации долгосрочной и краткосрочной финансовой политики, приобретенных ими в ходе теоретических и практических занятий.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состоит в том, что в процессе выполнения обучающийся не только самостоятельно изучает данные, характеризующие финансовую деятельность выбранной организации, но и обобщает материалы множества литературных источников отечественных и зарубежных авторов. Кроме того, это является важной формой развития навыков самостоятельной научной работы.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Написание </w:t>
      </w:r>
      <w:proofErr w:type="gramStart"/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обогащают обучающегося опытом и знаниями, необходимыми при выполнении ВКР.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ОРГАНИЗАЦИЯ ВЫПОЛНЕНИЯ КОНТРОЛЬНОЙ РАБОТЫ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Общую организацию выполнения контрольной работы осуществляет кафедра Экономической безопасности, учета и права. Организация выполнения </w:t>
      </w: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контрольной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включает:</w:t>
      </w:r>
    </w:p>
    <w:p w:rsidR="00140201" w:rsidRPr="00140201" w:rsidRDefault="00140201" w:rsidP="0014020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руководителя работы.</w:t>
      </w:r>
    </w:p>
    <w:p w:rsidR="00140201" w:rsidRPr="00140201" w:rsidRDefault="00140201" w:rsidP="0014020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задания.</w:t>
      </w:r>
    </w:p>
    <w:p w:rsidR="00140201" w:rsidRPr="00140201" w:rsidRDefault="00140201" w:rsidP="00140201">
      <w:pPr>
        <w:widowControl w:val="0"/>
        <w:numPr>
          <w:ilvl w:val="0"/>
          <w:numId w:val="5"/>
        </w:num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выполнения работы.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выполняется обучающимся согласно теме и заданию, представленным в данных методических рекомендациях. </w:t>
      </w:r>
      <w:proofErr w:type="gramEnd"/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выполняется обучающимся в соответствии с полученной темой и заданием, а также рекомендациями руководителя. Следует иметь в виду, что руководитель не является ни соавтором, ни редактором контрольной работы, и обучающийся не должен рассчитывать на то, что руководитель поправит имеющиеся в работе ошибки.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контрольной работы для проверки руководитель составляет рецензию, в котором всесторонне характеризует качество работы, отмечает положительные стороны, особое внимание обращает на имеющиеся недостатки.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сложившегося мнения, руководитель допускает или не допускает работу «к защите».</w:t>
      </w:r>
    </w:p>
    <w:p w:rsidR="00140201" w:rsidRPr="00140201" w:rsidRDefault="00140201" w:rsidP="0014020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РАБОТЕ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должна быть написана на высоком теоретическом и практическом уровне. При написании работы </w:t>
      </w:r>
      <w:proofErr w:type="gramStart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самостоятельно выбрать организацию, на основе данных которой будет выполняться работа. В каждом разделе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ходе обработки изучения фактических данных после представленных расчетов студент должен представить выводы, вытекающие из результатов.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используются данные бухгалтерской (финансовой) отчетности организации: форма № 1 «Бухгалтерский баланс»; форма № 2 «Отчет о прибылях и убытках»; форма № 3 «Отчет об изменениях капитала»; форма № 4 «Отчет о движении денежных средств»; форма № 5 «Приложение к бухгалтерскому балансу», а также аналитические данные.</w:t>
      </w:r>
    </w:p>
    <w:p w:rsidR="00140201" w:rsidRPr="00140201" w:rsidRDefault="00140201" w:rsidP="0014020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работы составляет 20-25 страниц машинописного текста.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исходные данные к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включают:</w:t>
      </w:r>
    </w:p>
    <w:p w:rsidR="00140201" w:rsidRPr="00140201" w:rsidRDefault="00140201" w:rsidP="00140201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1) Стандарт ДГТУ «Требования к структуре и оформлению письменных работ обучающихся для гуманитарных направлений подготовки».</w:t>
      </w:r>
    </w:p>
    <w:p w:rsidR="00140201" w:rsidRPr="00140201" w:rsidRDefault="00140201" w:rsidP="0014020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2) Бухгалтерскую (финансовую) отчетность организации, пояснения к бухгалтерской (финансовой) отчетности, данные аналитического учета, оперативной отчетности.</w:t>
      </w:r>
      <w:proofErr w:type="gramEnd"/>
    </w:p>
    <w:p w:rsidR="00140201" w:rsidRPr="00140201" w:rsidRDefault="00140201" w:rsidP="0014020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3) Учредительные документы организации, приказ об учетной политике, статистическую информацию по теме, информацию о договорной политике и договорных связях организации. </w:t>
      </w:r>
    </w:p>
    <w:p w:rsidR="00140201" w:rsidRPr="00140201" w:rsidRDefault="00140201" w:rsidP="0014020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4) Нормативную документацию и методические указания по бухгалтерскому учету и бухгалтерской (финансовой) отчетности, экономическому анализу. </w:t>
      </w:r>
    </w:p>
    <w:p w:rsidR="00140201" w:rsidRPr="00140201" w:rsidRDefault="00140201" w:rsidP="0014020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5) Материалы периодической печати. </w:t>
      </w:r>
    </w:p>
    <w:p w:rsidR="00140201" w:rsidRPr="00140201" w:rsidRDefault="00140201" w:rsidP="0014020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6) Монографии, учебники и учебные пособия по теме.</w:t>
      </w:r>
    </w:p>
    <w:p w:rsidR="00140201" w:rsidRPr="00140201" w:rsidRDefault="00140201" w:rsidP="001402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140201" w:rsidRPr="00140201" w:rsidRDefault="00140201" w:rsidP="00140201">
      <w:pPr>
        <w:widowControl w:val="0"/>
        <w:numPr>
          <w:ilvl w:val="0"/>
          <w:numId w:val="47"/>
        </w:numPr>
        <w:tabs>
          <w:tab w:val="left" w:pos="360"/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ПЛАТЕЖЕСПОСОБНОСТИ ОРГАНИЗАЦИИ</w:t>
      </w:r>
    </w:p>
    <w:p w:rsidR="00140201" w:rsidRPr="00140201" w:rsidRDefault="00140201" w:rsidP="00140201">
      <w:pPr>
        <w:widowControl w:val="0"/>
        <w:numPr>
          <w:ilvl w:val="1"/>
          <w:numId w:val="15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Анализ ликвидности бухгалтерского баланса организации</w:t>
      </w:r>
    </w:p>
    <w:p w:rsidR="00140201" w:rsidRPr="00140201" w:rsidRDefault="00140201" w:rsidP="00140201">
      <w:pPr>
        <w:widowControl w:val="0"/>
        <w:numPr>
          <w:ilvl w:val="1"/>
          <w:numId w:val="15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Расчет и оценка финансовых коэффициентов платежеспособности</w:t>
      </w:r>
    </w:p>
    <w:p w:rsidR="00140201" w:rsidRPr="00140201" w:rsidRDefault="00140201" w:rsidP="00140201">
      <w:pPr>
        <w:widowControl w:val="0"/>
        <w:numPr>
          <w:ilvl w:val="0"/>
          <w:numId w:val="47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ОЦЕНКА ПОКАЗАТЕЛЕЙ ФИНАНСОВОЙ УСТОЙЧИВОСТИ ОРГАНИЗАЦИИ</w:t>
      </w:r>
    </w:p>
    <w:p w:rsidR="00140201" w:rsidRPr="00140201" w:rsidRDefault="00140201" w:rsidP="00140201">
      <w:pPr>
        <w:widowControl w:val="0"/>
        <w:numPr>
          <w:ilvl w:val="0"/>
          <w:numId w:val="47"/>
        </w:num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ФИНАНСОВЫХ РЕЗУЛЬТАТОВ И ПОКАЗАТЕЛЕЙ РЕНТАБЕЛЬНОСТИ ОРГАНИЗАЦИИ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Анализ и оценка уровня и динамики финансовых результатов хозяйственной деятельности организации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Система показателей рентабельности организации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</w:t>
      </w:r>
    </w:p>
    <w:p w:rsidR="00140201" w:rsidRPr="00140201" w:rsidRDefault="00140201" w:rsidP="00140201">
      <w:pPr>
        <w:tabs>
          <w:tab w:val="left" w:pos="709"/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</w:p>
    <w:p w:rsidR="00140201" w:rsidRPr="00140201" w:rsidRDefault="00140201" w:rsidP="001402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введении (3-4 страницы) должна быть определена цель работы, поставлены задачи, которые должен решить студент при ее написании, определены объект, а также информационная база работы. Также студенту необходимо дать экономическую характеристику выбранной организации (объекта исследования) с указанием цели и видов деятельности, организационной структуры управления и т.п.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состоит из трех основных разделов. 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Разделы </w:t>
      </w:r>
      <w:r w:rsidRPr="00140201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контрольной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включают задания, по выполнению которых обучающийся должен представить четкие и логичные выводы </w:t>
      </w: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конце каждого раздела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уделяется </w:t>
      </w: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заключению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0201" w:rsidRPr="00140201" w:rsidRDefault="00140201" w:rsidP="00140201">
      <w:pPr>
        <w:tabs>
          <w:tab w:val="left" w:pos="284"/>
          <w:tab w:val="num" w:pos="12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(6-8 страниц) должно содержать общие выводы с точки зрения решаемых задач, поставленных в работе, с учетом полученных в двенадцати разделах результатов.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предполагает разработку и обоснование на основе полученных выводов рекомендаций (предложений, мероприятий) по повышению эффективности хозяйственной деятельности исследуемой организации по результатам проведенного анализа (улучшению финансового состояния, повышению финансовой устойчивости, платежеспособности, рентабельности и т.п.). Поэтому заключению должно быть уделено особое внимание (выводы, обоснование экономической целесообразности, эффективности, </w:t>
      </w:r>
      <w:r w:rsidRPr="001402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цифровой материал, графическое оформление</w:t>
      </w: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т.д.).</w:t>
      </w:r>
    </w:p>
    <w:p w:rsidR="00140201" w:rsidRPr="00140201" w:rsidRDefault="00140201" w:rsidP="00140201">
      <w:pPr>
        <w:tabs>
          <w:tab w:val="left" w:pos="284"/>
          <w:tab w:val="num" w:pos="12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содержат формы бухгалтерской (финансовой) отчетности, другую документацию, на основании которой студентом выполнялась работа.</w:t>
      </w:r>
    </w:p>
    <w:p w:rsidR="00140201" w:rsidRPr="00140201" w:rsidRDefault="00140201" w:rsidP="00140201">
      <w:pPr>
        <w:tabs>
          <w:tab w:val="left" w:pos="-98"/>
          <w:tab w:val="num" w:pos="0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sz w:val="28"/>
          <w:szCs w:val="28"/>
        </w:rPr>
        <w:t>ПРАВИЛА ОФОРМЛЕНИЯ КОНТРОЛЬНОЙ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 xml:space="preserve"> РАБОТЫ</w:t>
      </w:r>
    </w:p>
    <w:p w:rsidR="00140201" w:rsidRPr="00140201" w:rsidRDefault="00140201" w:rsidP="00140201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140201">
        <w:rPr>
          <w:rFonts w:ascii="Times New Roman" w:eastAsia="Calibri" w:hAnsi="Times New Roman" w:cs="Times New Roman"/>
          <w:snapToGrid w:val="0"/>
          <w:sz w:val="28"/>
          <w:szCs w:val="28"/>
        </w:rPr>
        <w:t>Контрольная работа оформляется в соответствии с Правилами оформления письменных работ обучающихся для гуманитарных направлений подготовки и Правилами применения шаблонов оформления письменных работ обучающихся ДГТУ № 242.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СОДЕРЖАНИЕ РАСЧЕТНО-ПОЯСНИТЕЛЬНОЙ ЧАСТИ 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  <w:r w:rsidRPr="0014020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НА ПРИМЕРЕ ОАО «АЭРОФЛОТ»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4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АНАЛИЗ И ОЦЕНКА ПЛАТЕЖЕСПОСОБНОСТИ ОРГАНИЗАЦИИ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Платежеспособность - это способность своевременно и в полном объеме рассчитываться по своим обязательствам как в долгосрочной, так и в краткосрочной перспективе.  </w:t>
      </w:r>
    </w:p>
    <w:tbl>
      <w:tblPr>
        <w:tblpPr w:leftFromText="180" w:rightFromText="180" w:vertAnchor="text" w:horzAnchor="margin" w:tblpY="385"/>
        <w:tblOverlap w:val="never"/>
        <w:tblW w:w="9432" w:type="dxa"/>
        <w:tblLook w:val="04A0" w:firstRow="1" w:lastRow="0" w:firstColumn="1" w:lastColumn="0" w:noHBand="0" w:noVBand="1"/>
      </w:tblPr>
      <w:tblGrid>
        <w:gridCol w:w="4512"/>
        <w:gridCol w:w="1480"/>
        <w:gridCol w:w="1780"/>
        <w:gridCol w:w="1660"/>
      </w:tblGrid>
      <w:tr w:rsidR="00140201" w:rsidRPr="00140201" w:rsidTr="00496FAC">
        <w:trPr>
          <w:trHeight w:val="300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(Этап 1)</w:t>
            </w: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Группировка активов/пассивов фирмы по степени убывания их ликвидности</w:t>
            </w:r>
          </w:p>
        </w:tc>
      </w:tr>
      <w:tr w:rsidR="00140201" w:rsidRPr="00140201" w:rsidTr="00496FAC">
        <w:trPr>
          <w:trHeight w:val="87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val="315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Актив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31.12.14 г.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31.12.13 г.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31.12.12 г.</w:t>
            </w:r>
          </w:p>
        </w:tc>
      </w:tr>
      <w:tr w:rsidR="00140201" w:rsidRPr="00140201" w:rsidTr="00496FAC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Наиболее ликвидные активы (А1)   Стр.1240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23 629 357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15 615 766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15 670 161</w:t>
            </w:r>
          </w:p>
        </w:tc>
      </w:tr>
      <w:tr w:rsidR="00140201" w:rsidRPr="00140201" w:rsidTr="00496FAC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Быстрореализуемые активы (А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 Стр.1232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56 680 604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46 655 928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46 660 502</w:t>
            </w:r>
          </w:p>
        </w:tc>
      </w:tr>
      <w:tr w:rsidR="00140201" w:rsidRPr="00140201" w:rsidTr="00496FAC">
        <w:trPr>
          <w:trHeight w:val="300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Медленнореализуемые реализуемые активы (А3)                 Стр.1210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тр.1220+ Стр.1231+ Стр.1260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36 713 321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20 659 850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19 404 955</w:t>
            </w:r>
          </w:p>
        </w:tc>
      </w:tr>
      <w:tr w:rsidR="00140201" w:rsidRPr="00140201" w:rsidTr="00496FAC">
        <w:trPr>
          <w:trHeight w:hRule="exact" w:val="675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Труднореализуемые активы (А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Строка 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60 583 095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41 759 020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39 870 276</w:t>
            </w:r>
          </w:p>
        </w:tc>
      </w:tr>
      <w:tr w:rsidR="00140201" w:rsidRPr="00140201" w:rsidTr="00496FAC">
        <w:trPr>
          <w:trHeight w:val="315"/>
        </w:trPr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val="315"/>
        </w:trPr>
        <w:tc>
          <w:tcPr>
            <w:tcW w:w="4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Пассив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31.12.14 г.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31.12.13 г.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31.12.12 г.</w:t>
            </w:r>
          </w:p>
        </w:tc>
      </w:tr>
      <w:tr w:rsidR="00140201" w:rsidRPr="00140201" w:rsidTr="00496FAC">
        <w:trPr>
          <w:trHeight w:hRule="exact" w:val="876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1.Наиболее срочные обязательств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П1) Стр.1520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53 565 168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36 164 508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33 298 003</w:t>
            </w:r>
          </w:p>
        </w:tc>
      </w:tr>
      <w:tr w:rsidR="00140201" w:rsidRPr="00140201" w:rsidTr="00496FAC">
        <w:trPr>
          <w:trHeight w:hRule="exact" w:val="835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Краткосрочные пассивы (П2)      Стр.1510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тр.1540+ Стр.1550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18 262 786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2 285 096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15 677 036</w:t>
            </w:r>
          </w:p>
        </w:tc>
      </w:tr>
      <w:tr w:rsidR="00140201" w:rsidRPr="00140201" w:rsidTr="00496FAC">
        <w:trPr>
          <w:trHeight w:val="842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Долгосрочные пассивы (П3)        Стр.1400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3 039 334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15 994 216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13 750 199</w:t>
            </w:r>
          </w:p>
        </w:tc>
      </w:tr>
      <w:tr w:rsidR="00140201" w:rsidRPr="00140201" w:rsidTr="00496FAC">
        <w:trPr>
          <w:trHeight w:val="699"/>
        </w:trPr>
        <w:tc>
          <w:tcPr>
            <w:tcW w:w="4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Постоянные пассивы (П4)             Стр. 1300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63 283 028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55 822 487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46 811 977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4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 </w:t>
      </w:r>
      <w:r w:rsidRPr="00140201">
        <w:rPr>
          <w:rFonts w:ascii="Times New Roman" w:eastAsia="Calibri" w:hAnsi="Times New Roman" w:cs="Times New Roman"/>
          <w:b/>
          <w:sz w:val="28"/>
          <w:szCs w:val="28"/>
        </w:rPr>
        <w:t xml:space="preserve">Анализ ликвидности бухгалтерского баланса </w:t>
      </w:r>
      <w:r w:rsidRPr="001402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ОАО «АЭРОФЛОТ»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Ликвидность - это способность или скорость превращения активов в деньги, поэтому ликвидность оценивается коэффициентами.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отметить, что понятие платежеспособности относится только к самой организации, а не к бухгалтерскому балансу. В свою очередь, ликвидность относится к бухгалтерскому балансу, а не к организации.</w:t>
      </w:r>
    </w:p>
    <w:tbl>
      <w:tblPr>
        <w:tblW w:w="11315" w:type="dxa"/>
        <w:tblInd w:w="108" w:type="dxa"/>
        <w:tblLook w:val="04A0" w:firstRow="1" w:lastRow="0" w:firstColumn="1" w:lastColumn="0" w:noHBand="0" w:noVBand="1"/>
      </w:tblPr>
      <w:tblGrid>
        <w:gridCol w:w="4410"/>
        <w:gridCol w:w="1701"/>
        <w:gridCol w:w="1804"/>
        <w:gridCol w:w="1660"/>
        <w:gridCol w:w="80"/>
        <w:gridCol w:w="1660"/>
      </w:tblGrid>
      <w:tr w:rsidR="00140201" w:rsidRPr="00140201" w:rsidTr="00496FAC">
        <w:trPr>
          <w:trHeight w:hRule="exact" w:val="300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ind w:right="-1565" w:firstLine="60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  <w:r w:rsidRPr="00140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(Этап 2) </w:t>
            </w: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Расчет излишка или недостатка для покрытия пассивов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gridAfter w:val="2"/>
          <w:wAfter w:w="1740" w:type="dxa"/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gridAfter w:val="2"/>
          <w:wAfter w:w="1740" w:type="dxa"/>
          <w:trHeight w:val="975"/>
        </w:trPr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Сравниваемые показатели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31.12.14</w:t>
            </w:r>
          </w:p>
        </w:tc>
        <w:tc>
          <w:tcPr>
            <w:tcW w:w="18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31.12.13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Избыток/ недостаток на 31.12.12</w:t>
            </w:r>
          </w:p>
        </w:tc>
      </w:tr>
      <w:tr w:rsidR="00140201" w:rsidRPr="00140201" w:rsidTr="00496FAC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ликвидные активы (А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наиболее срочными пассивами (П1)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-29 935 811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-20 548 742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-17 627 842</w:t>
            </w:r>
          </w:p>
        </w:tc>
      </w:tr>
      <w:tr w:rsidR="00140201" w:rsidRPr="00140201" w:rsidTr="00496FAC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Быстрореализуемые активы (А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краткосрочными пассивами (П2)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38 417 818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44 370 832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30 983 466</w:t>
            </w:r>
          </w:p>
        </w:tc>
      </w:tr>
      <w:tr w:rsidR="00140201" w:rsidRPr="00140201" w:rsidTr="00496FAC">
        <w:trPr>
          <w:gridAfter w:val="2"/>
          <w:wAfter w:w="1740" w:type="dxa"/>
          <w:trHeight w:val="600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Медленнореализуемые активы (А3) с долгосрочными пассивами (П3)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33 673 987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4 665 634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5 654 756</w:t>
            </w:r>
          </w:p>
        </w:tc>
      </w:tr>
      <w:tr w:rsidR="00140201" w:rsidRPr="00140201" w:rsidTr="00496FAC">
        <w:trPr>
          <w:gridAfter w:val="2"/>
          <w:wAfter w:w="1740" w:type="dxa"/>
          <w:trHeight w:val="615"/>
        </w:trPr>
        <w:tc>
          <w:tcPr>
            <w:tcW w:w="4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Труднореализуемые активы (А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 неустойчивыми пассивами (П4)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-2 699 933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-14 063 467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-6 941 701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46" w:type="dxa"/>
        <w:tblInd w:w="250" w:type="dxa"/>
        <w:tblLook w:val="04A0" w:firstRow="1" w:lastRow="0" w:firstColumn="1" w:lastColumn="0" w:noHBand="0" w:noVBand="1"/>
      </w:tblPr>
      <w:tblGrid>
        <w:gridCol w:w="2142"/>
        <w:gridCol w:w="2268"/>
        <w:gridCol w:w="2268"/>
        <w:gridCol w:w="1417"/>
        <w:gridCol w:w="851"/>
      </w:tblGrid>
      <w:tr w:rsidR="00140201" w:rsidRPr="00140201" w:rsidTr="00496FAC">
        <w:trPr>
          <w:trHeight w:hRule="exact" w:val="31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ind w:right="-1627" w:firstLine="6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(Этап 3) </w:t>
            </w: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соблюдения условия абсолютной ликвидности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31.12.14г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31.12.13г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31.12.12г</w:t>
            </w:r>
          </w:p>
        </w:tc>
      </w:tr>
      <w:tr w:rsidR="00140201" w:rsidRPr="00140201" w:rsidTr="00496FAC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&lt;П1</w:t>
            </w:r>
          </w:p>
        </w:tc>
      </w:tr>
      <w:tr w:rsidR="00140201" w:rsidRPr="00140201" w:rsidTr="00496FAC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&gt;П2</w:t>
            </w:r>
          </w:p>
        </w:tc>
      </w:tr>
      <w:tr w:rsidR="00140201" w:rsidRPr="00140201" w:rsidTr="00496FAC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А3&gt;П3</w:t>
            </w:r>
          </w:p>
        </w:tc>
      </w:tr>
      <w:tr w:rsidR="00140201" w:rsidRPr="00140201" w:rsidTr="00496FAC">
        <w:trPr>
          <w:trHeight w:val="30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&lt;П4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140201" w:rsidRPr="00140201" w:rsidRDefault="00140201" w:rsidP="0014020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Соотношение первого неравенства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40201">
        <w:rPr>
          <w:rFonts w:ascii="Times New Roman" w:eastAsia="Calibri" w:hAnsi="Times New Roman" w:cs="Times New Roman"/>
          <w:sz w:val="28"/>
          <w:szCs w:val="28"/>
        </w:rPr>
        <w:t>1≥П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) свидетельствует о том что на 31.12.2014, 31.12.2013 и 31.12.2012 исследуемая фирма была неплатежеспособной в ближайшей перспективе, при условии необходимости немедленного одновременного погашения фирмой всех своих наиболее срочных обязательств в виде краткосрочной кредиторской задолженности.</w:t>
      </w:r>
    </w:p>
    <w:p w:rsidR="00140201" w:rsidRPr="00140201" w:rsidRDefault="00140201" w:rsidP="0014020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Соотношение второго неравенства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140201">
        <w:rPr>
          <w:rFonts w:ascii="Times New Roman" w:eastAsia="Calibri" w:hAnsi="Times New Roman" w:cs="Times New Roman"/>
          <w:sz w:val="28"/>
          <w:szCs w:val="28"/>
        </w:rPr>
        <w:t>1≥П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) свидетельствует о том что в краткосрочной перспективе на 31.12.2014, 31.12.2013, и 31.12.2012 фирма являлась платежеспособной так как величина краткосрочной дебиторской задолженности перед фирмой оказалась больше величины ее краткосрочных пассивов.</w:t>
      </w:r>
    </w:p>
    <w:p w:rsidR="00140201" w:rsidRPr="00140201" w:rsidRDefault="00140201" w:rsidP="0014020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Соотношение третьего неравенства (А3≥П3) свидетельствует о его соблюдении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каждого из отчетных периодов, так как величина медленно реализуемых активов ОАО «АЭРОФЛОТ» превышают величину долгосрочных обязательств. </w:t>
      </w:r>
    </w:p>
    <w:p w:rsidR="00140201" w:rsidRPr="00140201" w:rsidRDefault="00140201" w:rsidP="00140201">
      <w:pPr>
        <w:widowControl w:val="0"/>
        <w:numPr>
          <w:ilvl w:val="0"/>
          <w:numId w:val="24"/>
        </w:num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Соотношение четвертого неравенства (А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≤П4)  свидетельствует о его соблюдении на конец всех отчетных периодов что является положительным моментом со стороны платежеспособности организации и ликвидности бухгалтерского баланса.</w:t>
      </w:r>
    </w:p>
    <w:p w:rsidR="00140201" w:rsidRPr="00140201" w:rsidRDefault="00140201" w:rsidP="00140201">
      <w:pPr>
        <w:tabs>
          <w:tab w:val="left" w:pos="0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1.2 Расчет и оценка финансовых коэффициентов платежеспособности</w:t>
      </w:r>
    </w:p>
    <w:p w:rsidR="00140201" w:rsidRPr="00140201" w:rsidRDefault="00140201" w:rsidP="00140201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Для более детального анализа ликвидности нужно провести расчет финансовых коэффициентов.</w:t>
      </w:r>
    </w:p>
    <w:tbl>
      <w:tblPr>
        <w:tblW w:w="9476" w:type="dxa"/>
        <w:tblInd w:w="108" w:type="dxa"/>
        <w:tblLook w:val="04A0" w:firstRow="1" w:lastRow="0" w:firstColumn="1" w:lastColumn="0" w:noHBand="0" w:noVBand="1"/>
      </w:tblPr>
      <w:tblGrid>
        <w:gridCol w:w="2702"/>
        <w:gridCol w:w="1537"/>
        <w:gridCol w:w="1517"/>
        <w:gridCol w:w="1476"/>
        <w:gridCol w:w="2244"/>
      </w:tblGrid>
      <w:tr w:rsidR="00140201" w:rsidRPr="00140201" w:rsidTr="00496FAC">
        <w:trPr>
          <w:trHeight w:hRule="exact" w:val="300"/>
        </w:trPr>
        <w:tc>
          <w:tcPr>
            <w:tcW w:w="7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ind w:firstLine="9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hRule="exact" w:val="80"/>
        </w:trPr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0201" w:rsidRPr="00140201" w:rsidTr="00496FAC">
        <w:trPr>
          <w:trHeight w:hRule="exact" w:val="315"/>
        </w:trPr>
        <w:tc>
          <w:tcPr>
            <w:tcW w:w="2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31.12.2014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31.12.2012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</w:tr>
      <w:tr w:rsidR="00140201" w:rsidRPr="00140201" w:rsidTr="00496FAC">
        <w:trPr>
          <w:trHeight w:hRule="exact" w:val="1540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показатель платежеспособности (L1)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L1&gt;=1</w:t>
            </w:r>
          </w:p>
        </w:tc>
      </w:tr>
      <w:tr w:rsidR="00140201" w:rsidRPr="00140201" w:rsidTr="00496FAC">
        <w:trPr>
          <w:trHeight w:val="600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абсолютной ликвидности (L2)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L2&gt;=0,1-0,7</w:t>
            </w:r>
          </w:p>
        </w:tc>
      </w:tr>
      <w:tr w:rsidR="00140201" w:rsidRPr="00140201" w:rsidTr="00496FAC">
        <w:trPr>
          <w:trHeight w:hRule="exact" w:val="1373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критерия оценки (L3)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допустимое: L3&gt;=0,7-0,8    оптим:L3&gt;=1</w:t>
            </w:r>
          </w:p>
        </w:tc>
      </w:tr>
      <w:tr w:rsidR="00140201" w:rsidRPr="00140201" w:rsidTr="00496FAC">
        <w:trPr>
          <w:trHeight w:hRule="exact" w:val="1619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текущей ликвидности (L4)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необх</w:t>
            </w:r>
            <w:proofErr w:type="spellEnd"/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: L4&gt;=2 оптим:L4&gt;=2,5-3</w:t>
            </w:r>
          </w:p>
        </w:tc>
      </w:tr>
      <w:tr w:rsidR="00140201" w:rsidRPr="00140201" w:rsidTr="00496FAC">
        <w:trPr>
          <w:trHeight w:hRule="exact" w:val="779"/>
        </w:trPr>
        <w:tc>
          <w:tcPr>
            <w:tcW w:w="27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ОС в активе (L5)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L5&gt;=0,5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Общий показатель платежеспособности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руб. всех оборотных активов в среднем приходится на 1 руб. обязанностей фирмы. Норматив данного коэффициента больше либо равен 1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>1).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140201">
        <w:rPr>
          <w:rFonts w:ascii="Times New Roman" w:eastAsia="Calibri" w:hAnsi="Times New Roman" w:cs="Times New Roman"/>
          <w:sz w:val="28"/>
          <w:szCs w:val="28"/>
        </w:rPr>
        <w:t>= (А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140201">
        <w:rPr>
          <w:rFonts w:ascii="Times New Roman" w:eastAsia="Calibri" w:hAnsi="Times New Roman" w:cs="Times New Roman"/>
          <w:sz w:val="28"/>
          <w:szCs w:val="28"/>
        </w:rPr>
        <w:t>+ 0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*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+ 0,3 *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>) / (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140201">
        <w:rPr>
          <w:rFonts w:ascii="Times New Roman" w:eastAsia="Calibri" w:hAnsi="Times New Roman" w:cs="Times New Roman"/>
          <w:sz w:val="28"/>
          <w:szCs w:val="28"/>
        </w:rPr>
        <w:t>+0,5 *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140201">
        <w:rPr>
          <w:rFonts w:ascii="Times New Roman" w:eastAsia="Calibri" w:hAnsi="Times New Roman" w:cs="Times New Roman"/>
          <w:sz w:val="28"/>
          <w:szCs w:val="28"/>
        </w:rPr>
        <w:t>+ 0,3 *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абсолютной ликвидности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) показывает, какую часть текущей краткосрочной задолженности организация может погасить в ближайшее время за счет денежных средств и привлекаемых к ним финансовых вложений.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>от 0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,1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до 0,7.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140201">
        <w:rPr>
          <w:rFonts w:ascii="Times New Roman" w:eastAsia="Calibri" w:hAnsi="Times New Roman" w:cs="Times New Roman"/>
          <w:sz w:val="28"/>
          <w:szCs w:val="28"/>
        </w:rPr>
        <w:t>=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/(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140201">
        <w:rPr>
          <w:rFonts w:ascii="Times New Roman" w:eastAsia="Calibri" w:hAnsi="Times New Roman" w:cs="Times New Roman"/>
          <w:sz w:val="28"/>
          <w:szCs w:val="28"/>
        </w:rPr>
        <w:t>+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быстрой (критической) оценки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) показывает, какая часть краткосрочных обязательств может быть немедленно погашена за счет денежных средств, средств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краткосрочных ценных бумагам и поступлений по расчетам.  Допустимая норма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от 0,7 до 0,8, оптимальный вариант 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3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>1.</w:t>
      </w:r>
      <w:proofErr w:type="gramEnd"/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текущей ликвидности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) показывает, какую часть текущих обязательств по кредитам и расчетам можно погасить, мобилизовав все оборотные средства.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2, оптимальная норма -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>от 2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до 3. 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4 </w:t>
      </w:r>
      <w:r w:rsidRPr="00140201">
        <w:rPr>
          <w:rFonts w:ascii="Times New Roman" w:eastAsia="Calibri" w:hAnsi="Times New Roman" w:cs="Times New Roman"/>
          <w:sz w:val="28"/>
          <w:szCs w:val="28"/>
        </w:rPr>
        <w:t>= (А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+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 / (П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+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Доля оборотных средств в активах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) показывает, какая часть собственных оборотных активов вложена в наиболее ликвидные активы и может быть использована в любом направлении.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5 </w:t>
      </w:r>
      <m:oMath>
        <m:r>
          <w:rPr>
            <w:rFonts w:ascii="Cambria Math" w:eastAsia="Calibri" w:hAnsi="Cambria Math"/>
            <w:sz w:val="28"/>
            <w:szCs w:val="28"/>
            <w:vertAlign w:val="subscript"/>
          </w:rPr>
          <m:t>≥</m:t>
        </m:r>
      </m:oMath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140201">
        <w:rPr>
          <w:rFonts w:ascii="Times New Roman" w:eastAsia="Calibri" w:hAnsi="Times New Roman" w:cs="Times New Roman"/>
          <w:sz w:val="28"/>
          <w:szCs w:val="28"/>
        </w:rPr>
        <w:t>0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,5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= (А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+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2 </w:t>
      </w:r>
      <w:r w:rsidRPr="00140201">
        <w:rPr>
          <w:rFonts w:ascii="Times New Roman" w:eastAsia="Calibri" w:hAnsi="Times New Roman" w:cs="Times New Roman"/>
          <w:sz w:val="28"/>
          <w:szCs w:val="28"/>
        </w:rPr>
        <w:t>+ А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>) / (П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1 </w:t>
      </w:r>
      <w:r w:rsidRPr="00140201">
        <w:rPr>
          <w:rFonts w:ascii="Times New Roman" w:eastAsia="Calibri" w:hAnsi="Times New Roman" w:cs="Times New Roman"/>
          <w:sz w:val="28"/>
          <w:szCs w:val="28"/>
        </w:rPr>
        <w:t>+ П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140201" w:rsidRPr="00140201" w:rsidRDefault="00140201" w:rsidP="0014020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Значение общего показателя платежеспособности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1) свидетельствует о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общей величины краткосрочных и долгосрочных обязательств фирмы в среднем приходилось 99 коп. общей величины текущих и медленно реализуемых активов; на 31.12.2013 соответственно 1 руб. 7 коп.,  а на 31.12.2011- 99 коп. Величина коэффициента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>1 почти соответствует нормальному ограничению, и к 2014 отчетному году имеет стабильную динамику.</w:t>
      </w:r>
    </w:p>
    <w:p w:rsidR="00140201" w:rsidRPr="00140201" w:rsidRDefault="00140201" w:rsidP="0014020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Расчет коэффициента абсолютной ликвидности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2) свидетельствует о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что на 31.12.2014г. на 1руб. текущих обязательств фирмы приходилось 33коп. наиболее ликвидных активов; на 31.12.2013 соответственно 41 коп.; на 31.12.2012 - 32 коп. Значение коэффициента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>2 во всех рассматриваемых отчетных периодах превышает нормальное ограничение(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>2≥10 коп.) К 31.12.2014 г. имеет место стабильная тенденция к удержанию данного показателя на достигнутом уровне.</w:t>
      </w:r>
    </w:p>
    <w:p w:rsidR="00140201" w:rsidRPr="00140201" w:rsidRDefault="00140201" w:rsidP="0014020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Расчет коэффициента «критерия оценки»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3) свидетельствует о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текущих обязательств фирмы приходится 1 руб. 12 коп.  текущих активов; на 31.12.2013 соответственно 1 руб. 62 коп., а на 31.12.2013 - 1 руб. 27 коп. Коэффициент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3 во всех отчетных периодах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выше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чем допустимое значение. </w:t>
      </w:r>
    </w:p>
    <w:p w:rsidR="00140201" w:rsidRPr="00140201" w:rsidRDefault="00140201" w:rsidP="0014020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Значения коэффициента текущей ликвидности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4) свидетельствует о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том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что на 31.12.2014 на 1 руб. текущих обязательств фирмы приходилось 1 руб. 63 коп. всех ее оборотных активов (как текущих так и медленно реализуемых); на 31.12.2013 соответственно 2 руб. 16 коп., а на 31.12.2012 - 1 руб. 67 коп. Можно отметить, что величина данного коэффициента превышает допустимое значение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>4≥2)  только 2013 году.</w:t>
      </w:r>
    </w:p>
    <w:p w:rsidR="00140201" w:rsidRPr="00140201" w:rsidRDefault="00140201" w:rsidP="00140201">
      <w:pPr>
        <w:widowControl w:val="0"/>
        <w:numPr>
          <w:ilvl w:val="0"/>
          <w:numId w:val="38"/>
        </w:numPr>
        <w:tabs>
          <w:tab w:val="left" w:pos="0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Значение коэффициента, отражающего  долю оборотных средств в активах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>5)  свидетельствует о том что на 31.12.2014 в общей величине активов фирмы оборотными являлось 80% активов; на 31.12.2013 соответственно 76%, а на 31.12.2012 -  77%. Можно заметить что доля оборотных средств в активах соответствовала нормальному ограничению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≥0,5 или 50%) на все отчетные даты,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что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несомненно, является важным фактором платежеспособности исследуемой фирмы.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АНАЛИЗ И ОЦЕНКА ПОКАЗАТЕЛЕЙ ФИНАНСОВОЙ УСТОЙЧИВОСТИ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финансовой устойчивостью понимают степень независимости фирмы от заемных источников. Чем </w:t>
      </w:r>
      <w:proofErr w:type="gramStart"/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доля заемных источников в общей величине пассива бухгалтерского баланса, тем ниже степень и финансовой устойчивости, и наоборот</w:t>
      </w:r>
      <w:proofErr w:type="gramEnd"/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Основной задачей анализа финансовой устойчивости является оценка степени независимости фирмы от заемных источников. 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анализа финансовой устойчивости организации используется система функциональных показателей, которые характеризуют структуру  использования фирмой пассивов или структуры ее капитала.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04" w:type="dxa"/>
        <w:tblInd w:w="-176" w:type="dxa"/>
        <w:tblLook w:val="04A0" w:firstRow="1" w:lastRow="0" w:firstColumn="1" w:lastColumn="0" w:noHBand="0" w:noVBand="1"/>
      </w:tblPr>
      <w:tblGrid>
        <w:gridCol w:w="3876"/>
        <w:gridCol w:w="1476"/>
        <w:gridCol w:w="1476"/>
        <w:gridCol w:w="1476"/>
        <w:gridCol w:w="1600"/>
      </w:tblGrid>
      <w:tr w:rsidR="00140201" w:rsidRPr="00140201" w:rsidTr="00496FAC">
        <w:trPr>
          <w:trHeight w:val="300"/>
        </w:trPr>
        <w:tc>
          <w:tcPr>
            <w:tcW w:w="3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31.12.2014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31.12.2013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31.12.2012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</w:t>
            </w:r>
          </w:p>
        </w:tc>
      </w:tr>
      <w:tr w:rsidR="00140201" w:rsidRPr="00140201" w:rsidTr="00496FAC">
        <w:trPr>
          <w:trHeight w:val="3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капитализации (U1) (Стр.1400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тр.1500/ Стр.1300)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0,95р.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1,28р.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U1&lt;=1,5</w:t>
            </w:r>
          </w:p>
        </w:tc>
      </w:tr>
      <w:tr w:rsidR="00140201" w:rsidRPr="00140201" w:rsidTr="00496FAC">
        <w:trPr>
          <w:trHeight w:val="9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обеспеченности собственными источниками финансирования (U2) Стр. 1300- Стр.1100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тр.1200)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0,03р.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U2 доп.</w:t>
            </w: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&gt;=</w:t>
            </w: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0,1  </w:t>
            </w:r>
          </w:p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оптим</w:t>
            </w:r>
            <w:proofErr w:type="spell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U2&gt;=0,5</w:t>
            </w:r>
          </w:p>
        </w:tc>
      </w:tr>
      <w:tr w:rsidR="00140201" w:rsidRPr="00140201" w:rsidTr="00496FAC">
        <w:trPr>
          <w:trHeight w:val="600"/>
        </w:trPr>
        <w:tc>
          <w:tcPr>
            <w:tcW w:w="3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финансовой независимости (U3) (Стр.1300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тр.1700)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0,43р.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0,51р.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0,44р.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U3&gt;=0,4-0,6</w:t>
            </w:r>
          </w:p>
        </w:tc>
      </w:tr>
      <w:tr w:rsidR="00140201" w:rsidRPr="00140201" w:rsidTr="00496FAC">
        <w:trPr>
          <w:trHeight w:val="600"/>
        </w:trPr>
        <w:tc>
          <w:tcPr>
            <w:tcW w:w="3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финансирования (U4)(Стр.1300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тр.1400- Стр.1500)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0,77р.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1,05р.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0,78р.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</w:t>
            </w:r>
            <w:proofErr w:type="spellEnd"/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U4&gt;=0,7 </w:t>
            </w:r>
          </w:p>
        </w:tc>
      </w:tr>
      <w:tr w:rsidR="00140201" w:rsidRPr="00140201" w:rsidTr="00496FAC">
        <w:trPr>
          <w:trHeight w:val="615"/>
        </w:trPr>
        <w:tc>
          <w:tcPr>
            <w:tcW w:w="3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Коэффициент финансовой устойчивости (U5) (Стр.1300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тр.1400/Стр.1700)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55%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U5&gt;=0,6 (60%)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694"/>
        <w:gridCol w:w="2126"/>
        <w:gridCol w:w="2127"/>
        <w:gridCol w:w="2976"/>
      </w:tblGrid>
      <w:tr w:rsidR="00140201" w:rsidRPr="00140201" w:rsidTr="00496FAC">
        <w:trPr>
          <w:trHeight w:val="30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2014г.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2013г.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2012г.</w:t>
            </w:r>
          </w:p>
        </w:tc>
      </w:tr>
      <w:tr w:rsidR="00140201" w:rsidRPr="00140201" w:rsidTr="00496FA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60 583 095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41 759 020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39 870 276</w:t>
            </w:r>
          </w:p>
        </w:tc>
      </w:tr>
      <w:tr w:rsidR="00140201" w:rsidRPr="00140201" w:rsidTr="00496FA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85 297 184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67 115 025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66 941 132</w:t>
            </w:r>
          </w:p>
        </w:tc>
      </w:tr>
      <w:tr w:rsidR="00140201" w:rsidRPr="00140201" w:rsidTr="00496FA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63 283 028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55 822 487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46 811 977</w:t>
            </w:r>
          </w:p>
        </w:tc>
      </w:tr>
      <w:tr w:rsidR="00140201" w:rsidRPr="00140201" w:rsidTr="00496FA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14 137 779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14 521 559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11 841 288</w:t>
            </w:r>
          </w:p>
        </w:tc>
      </w:tr>
      <w:tr w:rsidR="00140201" w:rsidRPr="00140201" w:rsidTr="00496FA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68 459 472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38 529 999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48 158 143</w:t>
            </w:r>
          </w:p>
        </w:tc>
      </w:tr>
      <w:tr w:rsidR="00140201" w:rsidRPr="00140201" w:rsidTr="00496FAC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145 880 279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108 874 045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0201" w:rsidRPr="00140201" w:rsidRDefault="00140201" w:rsidP="00140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106 811 408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капитализации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>)- это показатель, сравнивающий размер долгосрочной кредиторской задолженности с совокупными источниками долгосрочного финансирования, включающими помимо долгосрочной кредиторской задолженности собственный капитал организации. Коэффициент капитализации позволяет оценить достаточность у организации источника финансирования своей деятельности в форме собственного капитала.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обеспеченности собственными средствами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 - показывает достаточность у организации собственных сре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я финансирования текущей деятельности.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автономии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>)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-  характеризует отношение собственного капитала к общей сумме капитала (активов) организации. </w:t>
      </w:r>
      <w:r w:rsidRPr="00140201">
        <w:rPr>
          <w:rFonts w:ascii="Times New Roman" w:eastAsia="Calibri" w:hAnsi="Times New Roman" w:cs="Times New Roman"/>
          <w:bCs/>
          <w:sz w:val="28"/>
          <w:szCs w:val="28"/>
        </w:rPr>
        <w:t>Коэффициент</w:t>
      </w:r>
      <w:r w:rsidRPr="00140201">
        <w:rPr>
          <w:rFonts w:ascii="Times New Roman" w:eastAsia="Calibri" w:hAnsi="Times New Roman" w:cs="Times New Roman"/>
          <w:sz w:val="28"/>
          <w:szCs w:val="28"/>
        </w:rPr>
        <w:t> показывает, насколько организация независима от кредиторов.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финансирования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140201">
        <w:rPr>
          <w:rFonts w:ascii="Times New Roman" w:eastAsia="Calibri" w:hAnsi="Times New Roman" w:cs="Times New Roman"/>
          <w:sz w:val="28"/>
          <w:szCs w:val="28"/>
        </w:rPr>
        <w:t>) - показывает, в какой степени активы предприятия сформированы за счет собственного капитала, и насколько предприятие независимо от внешних источников финансирования.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финансовой устойчивости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) - </w:t>
      </w:r>
      <w:r w:rsidRPr="0014020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характеризует независимость по каждому элементу активов предприятия и по имуществу в целом, дают возможность измерить, достаточно ли устойчива компания в финансовом отношении.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140201" w:rsidRPr="00140201" w:rsidRDefault="00140201" w:rsidP="0014020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Расчет коэффициента капитализации свидетельствует о том что, на 31.12.2014 г. на 1руб. величины собственных источников фирмы приходилось 1 руб. 31 коп. всех обязательств фирмы, как долгосрочных, так и краткосрочных; на 31.12.2013 г. соответственно 95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а на 31.12.2012 г. - 1 руб. 28 коп. Нормативное значение коэффициента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>1 (не выше 1руб. 50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сех обязательств фирмы в расчете на 1 руб. собственных источников) на все отчетные даты выполняется. </w:t>
      </w:r>
    </w:p>
    <w:p w:rsidR="00140201" w:rsidRPr="00140201" w:rsidRDefault="00140201" w:rsidP="0014020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обеспеченности собственными источниками финансирования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>2 свидетельствует о том, что в 2014 г. величины собственных источников недостаточно для покрытия величины внеоборотных активов рассматриваемой фирмы. Однако, в 2013 и 2012 г. этот показатель находился на допустимом уровне, что свидетельствует об уменьшении собственных источников финансирования.</w:t>
      </w:r>
    </w:p>
    <w:p w:rsidR="00140201" w:rsidRPr="00140201" w:rsidRDefault="00140201" w:rsidP="0014020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финансовой независимости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>3 свидетельствует о том, что на все отчетные даты доля собственных источников в общей величине пассивов организации соответствовала норме.</w:t>
      </w:r>
    </w:p>
    <w:p w:rsidR="00140201" w:rsidRPr="00140201" w:rsidRDefault="00140201" w:rsidP="0014020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финансирования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>4 свидетельствует о том, что на конец 2014 г. на 1 руб. общей величины всех обязательств фирм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ы(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как долгосрочных, так и краткосрочных) приходилось 77 коп. собственного капитала; на 31.12.2013  г., соответственно, 1 руб. 5 коп., а к концу 2012г.- 78 коп. Значение этого коэффициента на все отчетные даты соответствует допустимому уровню.</w:t>
      </w:r>
    </w:p>
    <w:p w:rsidR="00140201" w:rsidRPr="00140201" w:rsidRDefault="00140201" w:rsidP="00140201">
      <w:pPr>
        <w:widowControl w:val="0"/>
        <w:numPr>
          <w:ilvl w:val="0"/>
          <w:numId w:val="29"/>
        </w:num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Значение коэффициента финансовой устойчивости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5 свидетельствует о том, что на 31.12.2014 г. в общей величине пассивов фирмы 53%  приходилось на наиболее устойчивые источники (собственные пассивы + долгосрочные обязательства); на 31.12.2013 г. и 31.12.2012г., соответственно, 65 % и 55%. Значение коэффициента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U</w:t>
      </w:r>
      <w:r w:rsidRPr="00140201">
        <w:rPr>
          <w:rFonts w:ascii="Times New Roman" w:eastAsia="Calibri" w:hAnsi="Times New Roman" w:cs="Times New Roman"/>
          <w:sz w:val="28"/>
          <w:szCs w:val="28"/>
        </w:rPr>
        <w:t>5 соответствует нормативному уровню только в 2013 г.</w:t>
      </w:r>
    </w:p>
    <w:p w:rsidR="00140201" w:rsidRPr="00140201" w:rsidRDefault="00140201" w:rsidP="0014020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201" w:rsidRPr="00140201" w:rsidRDefault="00140201" w:rsidP="0014020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r w:rsidRPr="00140201">
        <w:rPr>
          <w:rFonts w:ascii="Times New Roman" w:eastAsia="Calibri" w:hAnsi="Times New Roman" w:cs="Times New Roman"/>
          <w:b/>
          <w:sz w:val="28"/>
          <w:szCs w:val="28"/>
        </w:rPr>
        <w:t>АНАЛИЗ ФИНАНСОВЫХ РЕЗУЛЬТАТОВ И ПОКАЗАТЕЛЕЙ РЕНТАБЕЛЬНОСТИ ОРГАНИЗАЦИИ</w:t>
      </w:r>
    </w:p>
    <w:p w:rsidR="00140201" w:rsidRPr="00140201" w:rsidRDefault="00140201" w:rsidP="00140201">
      <w:pPr>
        <w:spacing w:after="0" w:line="360" w:lineRule="auto"/>
        <w:ind w:left="3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0201">
        <w:rPr>
          <w:rFonts w:ascii="Times New Roman" w:eastAsia="Calibri" w:hAnsi="Times New Roman" w:cs="Times New Roman"/>
          <w:b/>
          <w:sz w:val="28"/>
          <w:szCs w:val="28"/>
        </w:rPr>
        <w:t>3.1 Анализ и оценка уровня и динамики финансовых результатов хозяйственной деятельности организации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Финансовый результат - это прирост (или уменьшение) стоимости собственного капитала предприятия, который образуется в процессе его предпринимательской деятельности за отчетный период.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Финансовый результат хозяйственной деятельности фирмы характеризуется суммой полученной прибыли и уровнем рентабельности (прибыльности).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Прибыль - это положительный финансовый результат хозяйственной деятельности фирмы.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Рентабельность означает относительную доходность прибыли измеренную в затратах собственных средств либо имущества.</w:t>
      </w:r>
    </w:p>
    <w:p w:rsidR="00140201" w:rsidRPr="00140201" w:rsidRDefault="00140201" w:rsidP="001402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Основными источниками информации для анализа финансовых результатов являются: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- отчет о прибылях и убытках (форма №2 бухгалтерской отчетности);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- данные аналитического и синтетического учета по счетам 90 «Продажи», 91 «Прочие доходы и расходы», 99 «Доходы будущих периодов» и 84 «Нераспределенная прибыль (непокрытый убыток)».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На величину прибыли организации оказывают влияние определенные факторы. Их можно разделить на 2 группы:</w:t>
      </w:r>
    </w:p>
    <w:p w:rsidR="00140201" w:rsidRPr="00140201" w:rsidRDefault="00140201" w:rsidP="00140201">
      <w:pPr>
        <w:widowControl w:val="0"/>
        <w:spacing w:after="0" w:line="36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1) Внешние факторы (состояние рынка, цены и тарифы на топливо, политическая ситуация и т.д.);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2) Внутренние факторы (объемы реализации продукции и т.д.).</w:t>
      </w:r>
    </w:p>
    <w:p w:rsidR="00140201" w:rsidRPr="00140201" w:rsidRDefault="00140201" w:rsidP="0014020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Проведем анализ и оценку финансовых результатов:</w:t>
      </w:r>
    </w:p>
    <w:tbl>
      <w:tblPr>
        <w:tblW w:w="95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4"/>
        <w:gridCol w:w="1864"/>
        <w:gridCol w:w="1857"/>
        <w:gridCol w:w="1893"/>
        <w:gridCol w:w="1783"/>
      </w:tblGrid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Отчетный период 2014г.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Базисный период 2013г.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Абсолютное отклонение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%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Выручка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240 307 725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206 277 137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34 030 588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116,5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Себестоимость продаж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194 444 448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165 571 125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28 813 323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117,4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Коммерческие расходы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36 421 541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27 270 173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9 151 368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133,5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Управленческие расходы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8 087 529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7 045 426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1 042 103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114,8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Прочие доходы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34 888 137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23 108 821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11 779 316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150,9</w:t>
            </w:r>
          </w:p>
        </w:tc>
      </w:tr>
      <w:tr w:rsidR="00140201" w:rsidRPr="00140201" w:rsidTr="00496FAC">
        <w:tc>
          <w:tcPr>
            <w:tcW w:w="2174" w:type="dxa"/>
            <w:shd w:val="clear" w:color="auto" w:fill="auto"/>
          </w:tcPr>
          <w:p w:rsidR="00140201" w:rsidRPr="00140201" w:rsidRDefault="00140201" w:rsidP="001402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864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16 877 066</w:t>
            </w:r>
          </w:p>
        </w:tc>
        <w:tc>
          <w:tcPr>
            <w:tcW w:w="1857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13 174 009</w:t>
            </w:r>
          </w:p>
        </w:tc>
        <w:tc>
          <w:tcPr>
            <w:tcW w:w="189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3 703 057</w:t>
            </w:r>
          </w:p>
        </w:tc>
        <w:tc>
          <w:tcPr>
            <w:tcW w:w="1783" w:type="dxa"/>
            <w:shd w:val="clear" w:color="auto" w:fill="auto"/>
          </w:tcPr>
          <w:p w:rsidR="00140201" w:rsidRPr="00140201" w:rsidRDefault="00140201" w:rsidP="0014020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0201">
              <w:rPr>
                <w:rFonts w:ascii="Times New Roman" w:eastAsia="Calibri" w:hAnsi="Times New Roman" w:cs="Times New Roman"/>
                <w:sz w:val="28"/>
                <w:szCs w:val="28"/>
              </w:rPr>
              <w:t>128,1</w:t>
            </w:r>
          </w:p>
        </w:tc>
      </w:tr>
    </w:tbl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40201">
        <w:rPr>
          <w:rFonts w:ascii="Times New Roman" w:eastAsia="Calibri" w:hAnsi="Times New Roman" w:cs="Times New Roman"/>
          <w:bCs/>
          <w:iCs/>
          <w:sz w:val="28"/>
          <w:szCs w:val="28"/>
        </w:rPr>
        <w:t>В результате данных расчетов можно сделать вывод, что вместе с выручкой растут и все остальные показатели. Однако</w:t>
      </w:r>
      <w:proofErr w:type="gramStart"/>
      <w:r w:rsidRPr="00140201">
        <w:rPr>
          <w:rFonts w:ascii="Times New Roman" w:eastAsia="Calibri" w:hAnsi="Times New Roman" w:cs="Times New Roman"/>
          <w:bCs/>
          <w:iCs/>
          <w:sz w:val="28"/>
          <w:szCs w:val="28"/>
        </w:rPr>
        <w:t>,</w:t>
      </w:r>
      <w:proofErr w:type="gramEnd"/>
      <w:r w:rsidRPr="0014020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стоит отметить что величина прочих доход имеет заметно более высокий показатель тема роста в сравнении с величиной прочих расходов.</w:t>
      </w: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140201" w:rsidRPr="00140201" w:rsidRDefault="00140201" w:rsidP="0014020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40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3.2</w:t>
      </w:r>
      <w:r w:rsidRPr="0014020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140201">
        <w:rPr>
          <w:rFonts w:ascii="Times New Roman" w:eastAsia="Calibri" w:hAnsi="Times New Roman" w:cs="Times New Roman"/>
          <w:b/>
          <w:sz w:val="28"/>
          <w:szCs w:val="28"/>
        </w:rPr>
        <w:t>Система показателей рентабельности организации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40201">
        <w:rPr>
          <w:rFonts w:ascii="Times New Roman" w:eastAsia="Calibri" w:hAnsi="Times New Roman" w:cs="Times New Roman"/>
          <w:bCs/>
          <w:iCs/>
          <w:sz w:val="28"/>
          <w:szCs w:val="28"/>
        </w:rPr>
        <w:t>Рентабельность</w:t>
      </w:r>
      <w:r w:rsidRPr="00140201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это степень доходности, выгодности, прибыльности бизнеса ее измеряют с помощью целой системы относительных показателей, характеризующих эффективность работы предприятия в целом, доходность различных направлений деятельности (производственной, коммерческой, инвестиционной и т.д.), выгодность производства продукции и услуг отдельных видов Показатели рентабельности более полно, чем прибыль, характеризуют результаты хозяйствования, потому что их величина отражает соотношение эффекта с вложенным капиталом или потребленные ресурсы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их используют для оценки деятельности предприятия и как инструмент в инвестиционной  политике и ценообразовании.</w:t>
      </w:r>
    </w:p>
    <w:p w:rsidR="00140201" w:rsidRPr="00140201" w:rsidRDefault="00140201" w:rsidP="00140201">
      <w:pPr>
        <w:widowControl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Для расчета показателей рентабельности необходимо воспользоваться данными формы № 2 (отчет о прибылях и убытках). </w:t>
      </w:r>
    </w:p>
    <w:tbl>
      <w:tblPr>
        <w:tblpPr w:leftFromText="180" w:rightFromText="180" w:vertAnchor="text" w:horzAnchor="margin" w:tblpX="108" w:tblpY="183"/>
        <w:tblW w:w="9345" w:type="dxa"/>
        <w:tblLook w:val="04A0" w:firstRow="1" w:lastRow="0" w:firstColumn="1" w:lastColumn="0" w:noHBand="0" w:noVBand="1"/>
      </w:tblPr>
      <w:tblGrid>
        <w:gridCol w:w="632"/>
        <w:gridCol w:w="5713"/>
        <w:gridCol w:w="1500"/>
        <w:gridCol w:w="1500"/>
      </w:tblGrid>
      <w:tr w:rsidR="00140201" w:rsidRPr="00140201" w:rsidTr="00496FAC">
        <w:trPr>
          <w:trHeight w:val="90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1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2014г.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2013г.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продаж (R1)</w:t>
            </w:r>
          </w:p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Стр.2200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0,0056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0,0310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рентабельность (R2)</w:t>
            </w:r>
          </w:p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Стр.2300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0,0790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рентабельность (R3)</w:t>
            </w:r>
          </w:p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Стр.2400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тр.2110)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0,0538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Экономическая рентабельность (R4)</w:t>
            </w:r>
          </w:p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 Стр.2400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тр.1600)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0,0901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0,1019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собственного капитала (R5) ( Стр.2400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тр.1300)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0,1988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Затратоотдача</w:t>
            </w:r>
            <w:proofErr w:type="spell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(R6) ( Стр.2200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тр.2120+ Стр.2210+ Стр.2220)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0,3359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-0,0057</w:t>
            </w:r>
          </w:p>
        </w:tc>
      </w:tr>
      <w:tr w:rsidR="00140201" w:rsidRPr="00140201" w:rsidTr="00496FAC">
        <w:trPr>
          <w:trHeight w:val="300"/>
        </w:trPr>
        <w:tc>
          <w:tcPr>
            <w:tcW w:w="6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Рентабельность перманентного капитала (R7) ( Стр.2400</w:t>
            </w:r>
            <w:proofErr w:type="gramStart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 С</w:t>
            </w:r>
            <w:proofErr w:type="gramEnd"/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тр.1300+ Стр.1400)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201" w:rsidRPr="00140201" w:rsidRDefault="00140201" w:rsidP="00140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02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0,1578</w:t>
            </w:r>
          </w:p>
        </w:tc>
      </w:tr>
    </w:tbl>
    <w:p w:rsidR="00140201" w:rsidRPr="00140201" w:rsidRDefault="00140201" w:rsidP="0014020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продаж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прибыли от продаж приходится на 1 руб. выручки (нетто) от продаж.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общей рентабельности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общей прибыли до налогообложения приходится на 1 руб. выручки (нетто) от продаж.</w:t>
      </w:r>
    </w:p>
    <w:p w:rsidR="00140201" w:rsidRPr="00140201" w:rsidRDefault="00140201" w:rsidP="00140201">
      <w:pPr>
        <w:tabs>
          <w:tab w:val="left" w:pos="8138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чистой рентабельности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3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выручки приходится на 1 руб. выручки (нетто) от продаж.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экономической рентабельности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4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общей величины имущества.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собственного капитала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5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величины собственного капитала.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затратоотдачи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6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прибыли от продаж приходится на 1 руб. затрат на производство и реализацию готовой продукции.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>Коэффициент рентабельности пермаментного (постоянного) капитала (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  <w:vertAlign w:val="subscript"/>
        </w:rPr>
        <w:t>7</w:t>
      </w:r>
      <w:r w:rsidRPr="00140201">
        <w:rPr>
          <w:rFonts w:ascii="Times New Roman" w:eastAsia="Calibri" w:hAnsi="Times New Roman" w:cs="Times New Roman"/>
          <w:sz w:val="28"/>
          <w:szCs w:val="28"/>
        </w:rPr>
        <w:t>) показывает, сколько рублей чистой прибыли приходится на 1 руб. пермаментного капитала.</w:t>
      </w:r>
    </w:p>
    <w:p w:rsidR="00140201" w:rsidRPr="00140201" w:rsidRDefault="00140201" w:rsidP="001402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ВЫВОДЫ: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рентабельности продаж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1 свидетельствует о том что в 2013 г. (базисный период) на 1 руб. реализованной продукции приходилось в среднем 0,03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рибыли от продаж до исчисления налога на прибыль организации, а в 2014 г. (отчетный период), соответственно, 0,005 коп. Следовательно, тенденция отрицательная.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общей рентабельности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2 свидетельствует о том, что в 2013г. на 1 руб. выручки-нетто от продаж в среднем приходилось 0,079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бщей суммы  прибыли фирмы до налогообложения, включая прибыль, полученную от прочих видов деятельности фирмы, а в 2014 0,082 коп. Тенденция положительная. 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чистой рентабельности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3 свидетельствует о том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что в 2013 г. на 1 руб. выручки-нетто от продаж приходилось 0,053 коп. чистой прибыли, также и в 2014 г. этот показатель составил 0,054 коп. На протяжении года чистая рентабельность организации являлась стабильной.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экономической рентабельности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4 свидетельствует о том, что в 2013 г. на 1 руб. общей суммы активов фирмы в среднем обеспечивалось получение 0,1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истой прибыли, а в 2014 г. - 0,09 коп. Тенденция отрицательная.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рентабельности собственного капитала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5 свидетельствует о том, что на 1 руб. собственного капитала фирмы в 2013 г. в среднем обеспечивал получение 0,19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>истой прибыли, а в 2014 г. 0,2 коп.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затратоотдачи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6 свидетельствует о том, что в 2013 г. на 1 руб. общей суммы затрат на производство и реализацию готовой продукции не приходилось прибыли от продаж, а наоборот, имел место убыток в размере 0,0057 коп. В 2014 г. на 1 руб. общей суммы затрат на производство и реализацию готовой продукции приходилось 0,33 коп. Резкое увеличение затратоотдачи является положительным фактором, свидетельствующем о повышении степени окупаемости затрат в отчетном периоде по сравнению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базисным.</w:t>
      </w:r>
    </w:p>
    <w:p w:rsidR="00140201" w:rsidRPr="00140201" w:rsidRDefault="00140201" w:rsidP="00140201">
      <w:pPr>
        <w:widowControl w:val="0"/>
        <w:numPr>
          <w:ilvl w:val="0"/>
          <w:numId w:val="32"/>
        </w:numPr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Расчет показателя «Рентабельности перманентного капитала» </w:t>
      </w:r>
      <w:r w:rsidRPr="00140201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140201">
        <w:rPr>
          <w:rFonts w:ascii="Times New Roman" w:eastAsia="Calibri" w:hAnsi="Times New Roman" w:cs="Times New Roman"/>
          <w:sz w:val="28"/>
          <w:szCs w:val="28"/>
        </w:rPr>
        <w:t>7 свидетельствует о том, что в 2013 г. 1 руб. величины перманентного капитала фирмы в среднем обеспечивал получение 0,15 коп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истой прибыли, а в 2014 г., 0.16 коп. Тенденция положительная, </w:t>
      </w:r>
      <w:proofErr w:type="gramStart"/>
      <w:r w:rsidRPr="00140201">
        <w:rPr>
          <w:rFonts w:ascii="Times New Roman" w:eastAsia="Calibri" w:hAnsi="Times New Roman" w:cs="Times New Roman"/>
          <w:sz w:val="28"/>
          <w:szCs w:val="28"/>
        </w:rPr>
        <w:t>однако</w:t>
      </w:r>
      <w:proofErr w:type="gramEnd"/>
      <w:r w:rsidRPr="00140201">
        <w:rPr>
          <w:rFonts w:ascii="Times New Roman" w:eastAsia="Calibri" w:hAnsi="Times New Roman" w:cs="Times New Roman"/>
          <w:sz w:val="28"/>
          <w:szCs w:val="28"/>
        </w:rPr>
        <w:t xml:space="preserve"> очень слабая.</w:t>
      </w:r>
    </w:p>
    <w:p w:rsidR="00140201" w:rsidRPr="00140201" w:rsidRDefault="00140201" w:rsidP="0014020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0201" w:rsidRPr="00140201" w:rsidRDefault="00140201" w:rsidP="0014020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201">
        <w:rPr>
          <w:rFonts w:ascii="Times New Roman" w:eastAsia="Calibri" w:hAnsi="Times New Roman" w:cs="Times New Roman"/>
          <w:b/>
          <w:sz w:val="28"/>
          <w:szCs w:val="28"/>
        </w:rPr>
        <w:t>СПИСОК ИСПОЛЬЗОВАННЫХ ИСТОЧНИКОВ И ЛИТЕРАТУРЫ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Адаптивные учетно-аналитические системы стратегического управления организацией / Г.Е. Крохичева, В.В. Лесняк, Э.С. Аракельянц и др.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Ставрополь: Ставролит, 2016.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Аракельянц Э.С. Экономический анализ: теория: учеб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Э.С. Аракельянц, В.В. Лесняк., Е.М. Селезнева. 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2018.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Артеменко В.Г. Экономический анализ: учеб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В.Г. Артеменко, Н.В. Анисимова.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Финансы и статистика, 2011.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Calibri" w:hAnsi="Times New Roman" w:cs="Times New Roman"/>
          <w:sz w:val="30"/>
          <w:szCs w:val="31"/>
        </w:rPr>
      </w:pPr>
      <w:r w:rsidRPr="00140201">
        <w:rPr>
          <w:rFonts w:ascii="Times New Roman" w:eastAsia="Calibri" w:hAnsi="Times New Roman" w:cs="Times New Roman"/>
          <w:sz w:val="30"/>
          <w:szCs w:val="31"/>
        </w:rPr>
        <w:t>Бережной В.И. Бухгалтерский управленческий учет: учеб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1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30"/>
          <w:szCs w:val="31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1"/>
        </w:rPr>
        <w:t>п</w:t>
      </w:r>
      <w:proofErr w:type="gramEnd"/>
      <w:r w:rsidRPr="00140201">
        <w:rPr>
          <w:rFonts w:ascii="Times New Roman" w:eastAsia="Calibri" w:hAnsi="Times New Roman" w:cs="Times New Roman"/>
          <w:sz w:val="30"/>
          <w:szCs w:val="31"/>
        </w:rPr>
        <w:t xml:space="preserve">особие / В.И. Бережной, Г.Е. Крохичева, В.В. Лесняк.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Calibri" w:hAnsi="Times New Roman" w:cs="Times New Roman"/>
          <w:sz w:val="30"/>
          <w:szCs w:val="31"/>
        </w:rPr>
        <w:t>М.: Инфра-М, 2017.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Гогина Г.Н. Комплексный экономический анализ 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хозяйственной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деятельности / Г.Н. Гогина, Е.В. Никифорова, С.Л. </w:t>
      </w:r>
      <w:proofErr w:type="spell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Шиянова</w:t>
      </w:r>
      <w:proofErr w:type="spell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СПб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ГИОРД, 2010.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Графова Т.О. Система ресурсного управления интеллектуальным капиталом / Т.О. Графова. – Ростов н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/Д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: Изд-во ЮФУ, 2010.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Дафт Р.Л. Менеджмент / Р.Л. Дафт. </w:t>
      </w: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–</w:t>
      </w:r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СПб</w:t>
      </w:r>
      <w:proofErr w:type="gramStart"/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.: </w:t>
      </w:r>
      <w:proofErr w:type="gramEnd"/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>Питер, 2013.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Комплексный экономический анализ предприятия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/ П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од ред. Н.В. Войтоловского, А.П. Калининой, И.И. Мазуровой.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>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СПб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Питер, 2009.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Комплексный экономический анализ 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хозяйственной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деятельности / А.И. Алексеева, Ю.В. Васильев, А.В. Малеева и др.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М.: Кнорус, 2009.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1"/>
        </w:rPr>
        <w:t>Комплексный экономический анализ хозяйственной деятельности предприятия: учеб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1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30"/>
          <w:szCs w:val="31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1"/>
        </w:rPr>
        <w:t>п</w:t>
      </w:r>
      <w:proofErr w:type="gramEnd"/>
      <w:r w:rsidRPr="00140201">
        <w:rPr>
          <w:rFonts w:ascii="Times New Roman" w:eastAsia="Calibri" w:hAnsi="Times New Roman" w:cs="Times New Roman"/>
          <w:sz w:val="30"/>
          <w:szCs w:val="31"/>
        </w:rPr>
        <w:t>особие / В.В. Лесняк, Е.А. Щекотихина, В.В. Варламова и др.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Calibri" w:hAnsi="Times New Roman" w:cs="Times New Roman"/>
          <w:sz w:val="30"/>
          <w:szCs w:val="31"/>
        </w:rPr>
        <w:t xml:space="preserve">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н/Д: РГСУ</w:t>
      </w:r>
      <w:r w:rsidRPr="00140201">
        <w:rPr>
          <w:rFonts w:ascii="Times New Roman" w:eastAsia="Calibri" w:hAnsi="Times New Roman" w:cs="Times New Roman"/>
          <w:sz w:val="30"/>
          <w:szCs w:val="31"/>
        </w:rPr>
        <w:t>, 2014.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Королев М.И. Экономическая безопасность фирмы: теория, практика, выбор стратегии / М.И. Королев. – М.: Экономика, 2011.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Крохичева Г.Е. 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Методика стратегического анализа деятельности организаций / Г.Е. Крохичева,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Е.А. Щекотихина, В.В. Лесняк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2013.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В.В. Адаптивная архитектура стратегического учета, контроля и анализа в условиях цифровой экономики: моногр. / В.В. Лесняк, Е.М. Селезнева, Э.С. Аракельянц. – 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ДГТУ, 2020. 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Лесняк В.В. Адаптивный инжиниринговый инструментарий и бухгалтерское управление адаптивно-защитными процессами: моногр. / В.В. Лесняк. </w:t>
      </w: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Лесняк В.В. Бухгалтерское инжиниринговое управление экономической безопасностью организации: моногр. / В.В. Лесняк. </w:t>
      </w: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Лесняк В.В. Комплексный экономический анализ хозяйственной деятельности: </w:t>
      </w: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В.В. Лесняк, Е.М. Селезнева, Э.С. Аракельянц. 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Лесняк В.В. 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Стратегический управленческий учет и анализ: модели и решения / В.В. Лесняк.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2011.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993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В.В. Судебная экономическая (бухгалтерская) экспертиза: учеб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.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особие / В.В. Лесняк, Е.М. Селезнева, Э.С. Аракельянц. – 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ДГТУ, 2019. 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Лесняк И.В. Ситуационный анализ и контроль в коммерческих организациях / И.В. Лесняк.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: РГСУ, 2009. 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Мельник М.В. Анализ 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финансово-хозяйственной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деятельности предприятия: учеб. / М.В. Мельник, Е.Б. Герасимова.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Инфра-М, 2010.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Муругов Е.И. Учетно-аналитическое обеспечение управления платежеспособностью, собственностью и резервной системой предприятия / Е.И. Муругов.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Финансы и статистика, 2006.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Савицкая Г.В. Экономический анализ: учеб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Г.В. Савицкая.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М.: Новое знание, 2010.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Селезнева Е.М. Ситуационный анализ и контроль: </w:t>
      </w: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Е.М. Селезнева, В.В. Лесняк. 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: ДГТУ, 2018. 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color w:val="000000"/>
          <w:kern w:val="2"/>
          <w:sz w:val="30"/>
          <w:szCs w:val="30"/>
          <w:lang w:eastAsia="zh-CN"/>
        </w:rPr>
        <w:t xml:space="preserve">Селезнева Е.М. Стратегический учет, анализ и прогнозирование: </w:t>
      </w: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учеб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.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п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особие / Е.М. Селезнева, В.В. Лесняк, Э.С. Аракельянц. 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2018.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Селезнева Е.М. Учетно-аналитическое обеспечение 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внешнеэкономической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деятельности предприятия / Е.М. Селезнева, В.В. Лесняк, И.В. Домрачева.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РГСУ, 2013.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Селезнева Е.М. Финансовый, управленческий и стратегический учет и анализ 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внешнеэкономической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 деятельности: моногр. / Е.М. Селезнева. – Ростов н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: ДГТУ, 2019.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Стратегия обеспечения экономической безопасности коммерческой организации / Г.Е. Крохичева, В.В. Лесняк, Е.М. Селезнева и др.; Донской гос. техн. ун-т.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>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/Д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: ДГТУ, 2018.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Тейлор Д. Почти интеллектуальные системы. Как получить конкурентные преимущества путем автоматизации принятия скрытых решений / Д. Тейлор, Н. Рэйден. – СПб</w:t>
      </w:r>
      <w:proofErr w:type="gramStart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 xml:space="preserve">.: </w:t>
      </w:r>
      <w:proofErr w:type="gramEnd"/>
      <w:r w:rsidRPr="00140201">
        <w:rPr>
          <w:rFonts w:ascii="Times New Roman" w:eastAsia="Times New Roman" w:hAnsi="Times New Roman" w:cs="Times New Roman"/>
          <w:kern w:val="2"/>
          <w:sz w:val="30"/>
          <w:szCs w:val="30"/>
          <w:lang w:eastAsia="zh-CN"/>
        </w:rPr>
        <w:t>Символ-Плюс, 2009.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Теория и методология стратегического анализа в строительстве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/ Г.Е. Крохичева, В.В. Лесняк, С.В. Романова и др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 Ростов н/Д: РГСУ, 2012.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Хан Д. </w:t>
      </w:r>
      <w:proofErr w:type="spell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ПиК</w:t>
      </w:r>
      <w:proofErr w:type="spell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Стоимостно-ориентированные концепции контроллинга / Д. Хан, Х. </w:t>
      </w:r>
      <w:proofErr w:type="spell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Хунгенберг</w:t>
      </w:r>
      <w:proofErr w:type="spell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; пер. 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с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нем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. / под ред. Л.Г. Головача, М.Л. Лукашевича. – М.: Финансы и статистика, 2005. 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Хорин А.Н. Стратегический анализ: учеб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.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п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особие / А.Н. Хорин, В.Э. Керимов. – М.: Эксмо, 2009.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Шифрин М.Б. Стратегический менеджмент: учеб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.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п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особие / М.Б. Шифрин.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 –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</w:t>
      </w:r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СПб</w:t>
      </w:r>
      <w:proofErr w:type="gramStart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 xml:space="preserve">.: </w:t>
      </w:r>
      <w:proofErr w:type="gramEnd"/>
      <w:r w:rsidRPr="00140201">
        <w:rPr>
          <w:rFonts w:ascii="Times New Roman" w:eastAsia="SimSun" w:hAnsi="Times New Roman" w:cs="Times New Roman"/>
          <w:kern w:val="2"/>
          <w:sz w:val="30"/>
          <w:szCs w:val="31"/>
          <w:lang w:eastAsia="zh-CN"/>
        </w:rPr>
        <w:t>Питер, 2009.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kern w:val="2"/>
          <w:sz w:val="30"/>
          <w:szCs w:val="30"/>
          <w:lang w:eastAsia="zh-CN"/>
        </w:rPr>
      </w:pPr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>Шумейко М.В. Концепции и методология бухгалтерского учета и инжиниринга: моногр. / М.В. Шумейко, Е.В. Кузнецова, И.М. Ткач. – Ростов н</w:t>
      </w:r>
      <w:proofErr w:type="gramStart"/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>/Д</w:t>
      </w:r>
      <w:proofErr w:type="gramEnd"/>
      <w:r w:rsidRPr="00140201">
        <w:rPr>
          <w:rFonts w:ascii="Times New Roman" w:eastAsia="Times New Roman" w:hAnsi="Times New Roman" w:cs="Times New Roman"/>
          <w:sz w:val="30"/>
          <w:szCs w:val="30"/>
          <w:lang w:eastAsia="ru-RU"/>
        </w:rPr>
        <w:t>: РГСУ, 2008.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</w:pP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Экономический анализ: ситуации, тесты, примеры, задачи</w:t>
      </w:r>
      <w:proofErr w:type="gramStart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 / П</w:t>
      </w:r>
      <w:proofErr w:type="gramEnd"/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 xml:space="preserve">од ред. М.И. Баканова, А.Д. Шеремета. </w:t>
      </w:r>
      <w:r w:rsidRPr="00140201">
        <w:rPr>
          <w:rFonts w:ascii="Times New Roman" w:eastAsia="Times New Roman" w:hAnsi="Times New Roman" w:cs="Times New Roman"/>
          <w:sz w:val="30"/>
          <w:szCs w:val="31"/>
          <w:lang w:eastAsia="ru-RU"/>
        </w:rPr>
        <w:t xml:space="preserve">– </w:t>
      </w:r>
      <w:r w:rsidRPr="00140201">
        <w:rPr>
          <w:rFonts w:ascii="Times New Roman" w:eastAsia="SimSun" w:hAnsi="Times New Roman" w:cs="Times New Roman"/>
          <w:color w:val="000000"/>
          <w:kern w:val="2"/>
          <w:sz w:val="30"/>
          <w:szCs w:val="31"/>
          <w:lang w:eastAsia="zh-CN"/>
        </w:rPr>
        <w:t>М.: Финансы и статистика, 2011.</w:t>
      </w:r>
    </w:p>
    <w:p w:rsidR="00140201" w:rsidRPr="00140201" w:rsidRDefault="00140201" w:rsidP="00140201">
      <w:pPr>
        <w:widowControl w:val="0"/>
        <w:numPr>
          <w:ilvl w:val="0"/>
          <w:numId w:val="48"/>
        </w:numPr>
        <w:tabs>
          <w:tab w:val="left" w:pos="1134"/>
        </w:tabs>
        <w:spacing w:after="0" w:line="264" w:lineRule="auto"/>
        <w:ind w:left="0" w:firstLine="709"/>
        <w:jc w:val="both"/>
        <w:rPr>
          <w:rFonts w:ascii="Times New Roman" w:eastAsia="SimSun" w:hAnsi="Times New Roman" w:cs="Times New Roman"/>
          <w:color w:val="000000"/>
          <w:kern w:val="2"/>
          <w:sz w:val="30"/>
          <w:szCs w:val="30"/>
          <w:lang w:eastAsia="zh-CN"/>
        </w:rPr>
      </w:pPr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Эллиот</w:t>
      </w:r>
      <w:proofErr w:type="gramStart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 xml:space="preserve"> Т</w:t>
      </w:r>
      <w:proofErr w:type="gramEnd"/>
      <w:r w:rsidRPr="00140201">
        <w:rPr>
          <w:rFonts w:ascii="Times New Roman" w:eastAsia="Calibri" w:hAnsi="Times New Roman" w:cs="Times New Roman"/>
          <w:sz w:val="30"/>
          <w:szCs w:val="30"/>
          <w:lang w:eastAsia="ru-RU"/>
        </w:rPr>
        <w:t>р. Интегрированные бизнес-системы: экспресс-курс / Тр. Эллиот, Д. Герберт; пер. с англ. Т. Новиковой. – М.: ФАИР-ПРЕСС, 2005.</w:t>
      </w:r>
    </w:p>
    <w:p w:rsidR="00140201" w:rsidRPr="00140201" w:rsidRDefault="00140201" w:rsidP="0014020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2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ЗАЩИТА </w:t>
      </w:r>
      <w:r w:rsidRPr="0014020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/>
        </w:rPr>
        <w:t>КОНТРОЛЬНОЙ РАБОТЫ</w:t>
      </w:r>
    </w:p>
    <w:p w:rsidR="00140201" w:rsidRPr="00140201" w:rsidRDefault="00140201" w:rsidP="00140201">
      <w:pPr>
        <w:tabs>
          <w:tab w:val="num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  <w:r w:rsidRPr="00140201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Выполненная в чистом варианте контрольная работа подписывается </w:t>
      </w:r>
      <w:proofErr w:type="gramStart"/>
      <w:r w:rsidRPr="00140201">
        <w:rPr>
          <w:rFonts w:ascii="Times New Roman" w:eastAsia="Calibri" w:hAnsi="Times New Roman" w:cs="Times New Roman"/>
          <w:snapToGrid w:val="0"/>
          <w:sz w:val="28"/>
          <w:szCs w:val="28"/>
        </w:rPr>
        <w:t>обучающимся</w:t>
      </w:r>
      <w:proofErr w:type="gramEnd"/>
      <w:r w:rsidRPr="00140201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и сдается руководителю. На работу руководитель пишет рецензию, в которой отмечаются положительные и отрицательные стороны работы, и дается заключение о соответствии работы предъявляемым требованиям и возможности ее допуска к защите. Если работа к защите не допущена, а возвращена на доработку, студент должен исправить указанные замечания и предоставить работу на повторную проверку обязательно с первоначальной рецензией руководителя.</w:t>
      </w:r>
    </w:p>
    <w:p w:rsidR="00140201" w:rsidRPr="00140201" w:rsidRDefault="00140201" w:rsidP="00140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20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защите контрольной работы руководитель задает студенту вопросы, относящиеся к рассматриваемой теме. После ответов студента на предложенные вопросы выставляется оценка по результатам защиты работы.</w:t>
      </w:r>
      <w:r w:rsidRPr="00140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0201" w:rsidRPr="00140201" w:rsidRDefault="00140201" w:rsidP="00140201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1"/>
          <w:szCs w:val="24"/>
          <w:lang w:eastAsia="ar-SA"/>
        </w:rPr>
      </w:pPr>
    </w:p>
    <w:p w:rsidR="00A64116" w:rsidRDefault="00A64116"/>
    <w:sectPr w:rsidR="00A64116" w:rsidSect="00B12F18">
      <w:footerReference w:type="default" r:id="rId6"/>
      <w:pgSz w:w="11906" w:h="16838"/>
      <w:pgMar w:top="1134" w:right="850" w:bottom="1134" w:left="1701" w:header="708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EDF" w:rsidRDefault="0014020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D5EDF" w:rsidRDefault="00140201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F08"/>
    <w:multiLevelType w:val="hybridMultilevel"/>
    <w:tmpl w:val="5B765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90944"/>
    <w:multiLevelType w:val="hybridMultilevel"/>
    <w:tmpl w:val="EED275A0"/>
    <w:lvl w:ilvl="0" w:tplc="E5FA231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7E21615"/>
    <w:multiLevelType w:val="hybridMultilevel"/>
    <w:tmpl w:val="ADA2BC3C"/>
    <w:lvl w:ilvl="0" w:tplc="29806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803591"/>
    <w:multiLevelType w:val="hybridMultilevel"/>
    <w:tmpl w:val="8BB62E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084EBA"/>
    <w:multiLevelType w:val="singleLevel"/>
    <w:tmpl w:val="18DCF96E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D3310AE"/>
    <w:multiLevelType w:val="hybridMultilevel"/>
    <w:tmpl w:val="349A814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D897F40"/>
    <w:multiLevelType w:val="hybridMultilevel"/>
    <w:tmpl w:val="13480C1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F64F04"/>
    <w:multiLevelType w:val="multilevel"/>
    <w:tmpl w:val="3B2C85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0D48F0"/>
    <w:multiLevelType w:val="multilevel"/>
    <w:tmpl w:val="C538A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9D3D8F"/>
    <w:multiLevelType w:val="hybridMultilevel"/>
    <w:tmpl w:val="9E906CB2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1B732A"/>
    <w:multiLevelType w:val="hybridMultilevel"/>
    <w:tmpl w:val="E9D4F92A"/>
    <w:lvl w:ilvl="0" w:tplc="EAF414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9837030"/>
    <w:multiLevelType w:val="hybridMultilevel"/>
    <w:tmpl w:val="841CB8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D9C1636"/>
    <w:multiLevelType w:val="hybridMultilevel"/>
    <w:tmpl w:val="9F9A414C"/>
    <w:lvl w:ilvl="0" w:tplc="29806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F4712AF"/>
    <w:multiLevelType w:val="hybridMultilevel"/>
    <w:tmpl w:val="06462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12597A"/>
    <w:multiLevelType w:val="singleLevel"/>
    <w:tmpl w:val="BF18A7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254F04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A5E0E0B"/>
    <w:multiLevelType w:val="hybridMultilevel"/>
    <w:tmpl w:val="EEB88B36"/>
    <w:lvl w:ilvl="0" w:tplc="DF763A52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1615E3"/>
    <w:multiLevelType w:val="hybridMultilevel"/>
    <w:tmpl w:val="EED275A0"/>
    <w:lvl w:ilvl="0" w:tplc="E5FA231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FB039B5"/>
    <w:multiLevelType w:val="hybridMultilevel"/>
    <w:tmpl w:val="95DCB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0148BB"/>
    <w:multiLevelType w:val="hybridMultilevel"/>
    <w:tmpl w:val="14E4E78A"/>
    <w:lvl w:ilvl="0" w:tplc="4D3422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3D5EF4"/>
    <w:multiLevelType w:val="hybridMultilevel"/>
    <w:tmpl w:val="7ACC8956"/>
    <w:lvl w:ilvl="0" w:tplc="7A22E54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36F51"/>
    <w:multiLevelType w:val="hybridMultilevel"/>
    <w:tmpl w:val="E3E6A128"/>
    <w:lvl w:ilvl="0" w:tplc="417E0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FB2D62"/>
    <w:multiLevelType w:val="hybridMultilevel"/>
    <w:tmpl w:val="AB6AA844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28644D0"/>
    <w:multiLevelType w:val="hybridMultilevel"/>
    <w:tmpl w:val="23385EDC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3FA01CC"/>
    <w:multiLevelType w:val="singleLevel"/>
    <w:tmpl w:val="F446D60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601557C"/>
    <w:multiLevelType w:val="multilevel"/>
    <w:tmpl w:val="776842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A60164"/>
    <w:multiLevelType w:val="hybridMultilevel"/>
    <w:tmpl w:val="26B444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8F10FDF"/>
    <w:multiLevelType w:val="hybridMultilevel"/>
    <w:tmpl w:val="1E3EB180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832FD"/>
    <w:multiLevelType w:val="multilevel"/>
    <w:tmpl w:val="AC9C8CDC"/>
    <w:lvl w:ilvl="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5" w:hanging="2160"/>
      </w:pPr>
      <w:rPr>
        <w:rFonts w:hint="default"/>
      </w:rPr>
    </w:lvl>
  </w:abstractNum>
  <w:abstractNum w:abstractNumId="29">
    <w:nsid w:val="523B5F7F"/>
    <w:multiLevelType w:val="hybridMultilevel"/>
    <w:tmpl w:val="9484103A"/>
    <w:lvl w:ilvl="0" w:tplc="D924C9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2850867"/>
    <w:multiLevelType w:val="hybridMultilevel"/>
    <w:tmpl w:val="BA225DC2"/>
    <w:lvl w:ilvl="0" w:tplc="72549C12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color w:val="auto"/>
      </w:rPr>
    </w:lvl>
    <w:lvl w:ilvl="1" w:tplc="D632D13A">
      <w:numFmt w:val="none"/>
      <w:lvlText w:val=""/>
      <w:lvlJc w:val="left"/>
      <w:pPr>
        <w:tabs>
          <w:tab w:val="num" w:pos="360"/>
        </w:tabs>
      </w:pPr>
    </w:lvl>
    <w:lvl w:ilvl="2" w:tplc="52BEBF8C">
      <w:numFmt w:val="none"/>
      <w:lvlText w:val=""/>
      <w:lvlJc w:val="left"/>
      <w:pPr>
        <w:tabs>
          <w:tab w:val="num" w:pos="360"/>
        </w:tabs>
      </w:pPr>
    </w:lvl>
    <w:lvl w:ilvl="3" w:tplc="14BA90DC">
      <w:numFmt w:val="none"/>
      <w:lvlText w:val=""/>
      <w:lvlJc w:val="left"/>
      <w:pPr>
        <w:tabs>
          <w:tab w:val="num" w:pos="360"/>
        </w:tabs>
      </w:pPr>
    </w:lvl>
    <w:lvl w:ilvl="4" w:tplc="B8D40B6E">
      <w:numFmt w:val="none"/>
      <w:lvlText w:val=""/>
      <w:lvlJc w:val="left"/>
      <w:pPr>
        <w:tabs>
          <w:tab w:val="num" w:pos="360"/>
        </w:tabs>
      </w:pPr>
    </w:lvl>
    <w:lvl w:ilvl="5" w:tplc="ECD6970C">
      <w:numFmt w:val="none"/>
      <w:lvlText w:val=""/>
      <w:lvlJc w:val="left"/>
      <w:pPr>
        <w:tabs>
          <w:tab w:val="num" w:pos="360"/>
        </w:tabs>
      </w:pPr>
    </w:lvl>
    <w:lvl w:ilvl="6" w:tplc="4D8ED788">
      <w:numFmt w:val="none"/>
      <w:lvlText w:val=""/>
      <w:lvlJc w:val="left"/>
      <w:pPr>
        <w:tabs>
          <w:tab w:val="num" w:pos="360"/>
        </w:tabs>
      </w:pPr>
    </w:lvl>
    <w:lvl w:ilvl="7" w:tplc="1A56D54E">
      <w:numFmt w:val="none"/>
      <w:lvlText w:val=""/>
      <w:lvlJc w:val="left"/>
      <w:pPr>
        <w:tabs>
          <w:tab w:val="num" w:pos="360"/>
        </w:tabs>
      </w:pPr>
    </w:lvl>
    <w:lvl w:ilvl="8" w:tplc="CB808E9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53BC2383"/>
    <w:multiLevelType w:val="hybridMultilevel"/>
    <w:tmpl w:val="F5F68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52F0F"/>
    <w:multiLevelType w:val="hybridMultilevel"/>
    <w:tmpl w:val="064625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5D2191"/>
    <w:multiLevelType w:val="hybridMultilevel"/>
    <w:tmpl w:val="E77C2D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5B16373F"/>
    <w:multiLevelType w:val="hybridMultilevel"/>
    <w:tmpl w:val="6D42F8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5B272CCD"/>
    <w:multiLevelType w:val="hybridMultilevel"/>
    <w:tmpl w:val="3D925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65000C"/>
    <w:multiLevelType w:val="hybridMultilevel"/>
    <w:tmpl w:val="D8D4BF86"/>
    <w:lvl w:ilvl="0" w:tplc="D9A08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A85F40"/>
    <w:multiLevelType w:val="hybridMultilevel"/>
    <w:tmpl w:val="A93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9E32F5"/>
    <w:multiLevelType w:val="hybridMultilevel"/>
    <w:tmpl w:val="557E35C2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7FE382F"/>
    <w:multiLevelType w:val="hybridMultilevel"/>
    <w:tmpl w:val="01E27C5C"/>
    <w:lvl w:ilvl="0" w:tplc="AA4A6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A40ED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4DAD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09A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66B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ACA4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2F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76A7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46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5A436C"/>
    <w:multiLevelType w:val="hybridMultilevel"/>
    <w:tmpl w:val="A33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BC70D5"/>
    <w:multiLevelType w:val="singleLevel"/>
    <w:tmpl w:val="9030122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2">
    <w:nsid w:val="6AF32D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09020EF"/>
    <w:multiLevelType w:val="hybridMultilevel"/>
    <w:tmpl w:val="3AD4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E40657"/>
    <w:multiLevelType w:val="multilevel"/>
    <w:tmpl w:val="E5FE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E44038"/>
    <w:multiLevelType w:val="hybridMultilevel"/>
    <w:tmpl w:val="C60444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AAE3F52"/>
    <w:multiLevelType w:val="hybridMultilevel"/>
    <w:tmpl w:val="CB5E63BA"/>
    <w:lvl w:ilvl="0" w:tplc="D85CD5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E100E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7"/>
  </w:num>
  <w:num w:numId="3">
    <w:abstractNumId w:val="39"/>
  </w:num>
  <w:num w:numId="4">
    <w:abstractNumId w:val="24"/>
  </w:num>
  <w:num w:numId="5">
    <w:abstractNumId w:val="14"/>
  </w:num>
  <w:num w:numId="6">
    <w:abstractNumId w:val="41"/>
  </w:num>
  <w:num w:numId="7">
    <w:abstractNumId w:val="4"/>
  </w:num>
  <w:num w:numId="8">
    <w:abstractNumId w:val="21"/>
  </w:num>
  <w:num w:numId="9">
    <w:abstractNumId w:val="18"/>
  </w:num>
  <w:num w:numId="10">
    <w:abstractNumId w:val="5"/>
  </w:num>
  <w:num w:numId="11">
    <w:abstractNumId w:val="15"/>
  </w:num>
  <w:num w:numId="12">
    <w:abstractNumId w:val="47"/>
  </w:num>
  <w:num w:numId="13">
    <w:abstractNumId w:val="42"/>
    <w:lvlOverride w:ilvl="0">
      <w:startOverride w:val="1"/>
    </w:lvlOverride>
  </w:num>
  <w:num w:numId="14">
    <w:abstractNumId w:val="38"/>
  </w:num>
  <w:num w:numId="15">
    <w:abstractNumId w:val="30"/>
  </w:num>
  <w:num w:numId="16">
    <w:abstractNumId w:val="44"/>
  </w:num>
  <w:num w:numId="17">
    <w:abstractNumId w:val="45"/>
  </w:num>
  <w:num w:numId="18">
    <w:abstractNumId w:val="2"/>
  </w:num>
  <w:num w:numId="19">
    <w:abstractNumId w:val="7"/>
  </w:num>
  <w:num w:numId="20">
    <w:abstractNumId w:val="12"/>
  </w:num>
  <w:num w:numId="21">
    <w:abstractNumId w:val="8"/>
  </w:num>
  <w:num w:numId="22">
    <w:abstractNumId w:val="20"/>
  </w:num>
  <w:num w:numId="23">
    <w:abstractNumId w:val="3"/>
  </w:num>
  <w:num w:numId="24">
    <w:abstractNumId w:val="13"/>
  </w:num>
  <w:num w:numId="25">
    <w:abstractNumId w:val="33"/>
  </w:num>
  <w:num w:numId="26">
    <w:abstractNumId w:val="35"/>
  </w:num>
  <w:num w:numId="27">
    <w:abstractNumId w:val="23"/>
  </w:num>
  <w:num w:numId="28">
    <w:abstractNumId w:val="37"/>
  </w:num>
  <w:num w:numId="29">
    <w:abstractNumId w:val="11"/>
  </w:num>
  <w:num w:numId="30">
    <w:abstractNumId w:val="31"/>
  </w:num>
  <w:num w:numId="31">
    <w:abstractNumId w:val="0"/>
  </w:num>
  <w:num w:numId="32">
    <w:abstractNumId w:val="6"/>
  </w:num>
  <w:num w:numId="33">
    <w:abstractNumId w:val="34"/>
  </w:num>
  <w:num w:numId="34">
    <w:abstractNumId w:val="28"/>
  </w:num>
  <w:num w:numId="35">
    <w:abstractNumId w:val="1"/>
  </w:num>
  <w:num w:numId="36">
    <w:abstractNumId w:val="36"/>
  </w:num>
  <w:num w:numId="37">
    <w:abstractNumId w:val="43"/>
  </w:num>
  <w:num w:numId="38">
    <w:abstractNumId w:val="32"/>
  </w:num>
  <w:num w:numId="39">
    <w:abstractNumId w:val="10"/>
  </w:num>
  <w:num w:numId="40">
    <w:abstractNumId w:val="25"/>
  </w:num>
  <w:num w:numId="41">
    <w:abstractNumId w:val="9"/>
  </w:num>
  <w:num w:numId="42">
    <w:abstractNumId w:val="29"/>
  </w:num>
  <w:num w:numId="43">
    <w:abstractNumId w:val="22"/>
  </w:num>
  <w:num w:numId="44">
    <w:abstractNumId w:val="17"/>
  </w:num>
  <w:num w:numId="45">
    <w:abstractNumId w:val="46"/>
  </w:num>
  <w:num w:numId="46">
    <w:abstractNumId w:val="40"/>
  </w:num>
  <w:num w:numId="47">
    <w:abstractNumId w:val="19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01"/>
    <w:rsid w:val="00140201"/>
    <w:rsid w:val="00A6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0201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140201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14020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0201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4020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4020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40201"/>
    <w:pPr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140201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402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2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4020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4020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020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402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4020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402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140201"/>
  </w:style>
  <w:style w:type="paragraph" w:styleId="21">
    <w:name w:val="Body Text 2"/>
    <w:basedOn w:val="a"/>
    <w:link w:val="22"/>
    <w:rsid w:val="001402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40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1402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40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4020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14020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7">
    <w:name w:val="footer"/>
    <w:basedOn w:val="a"/>
    <w:link w:val="a8"/>
    <w:uiPriority w:val="99"/>
    <w:rsid w:val="0014020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14020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9">
    <w:name w:val="Normal (Web)"/>
    <w:basedOn w:val="a"/>
    <w:uiPriority w:val="99"/>
    <w:rsid w:val="0014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40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402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rsid w:val="00140201"/>
    <w:pPr>
      <w:widowControl w:val="0"/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customStyle="1" w:styleId="ab">
    <w:name w:val="Текст сноски Знак"/>
    <w:basedOn w:val="a0"/>
    <w:link w:val="aa"/>
    <w:rsid w:val="00140201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table" w:styleId="ac">
    <w:name w:val="Table Grid"/>
    <w:basedOn w:val="a1"/>
    <w:rsid w:val="00140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140201"/>
    <w:rPr>
      <w:rFonts w:ascii="Symbol" w:hAnsi="Symbol"/>
    </w:rPr>
  </w:style>
  <w:style w:type="character" w:customStyle="1" w:styleId="WW8Num4z1">
    <w:name w:val="WW8Num4z1"/>
    <w:rsid w:val="00140201"/>
    <w:rPr>
      <w:rFonts w:ascii="Courier New" w:hAnsi="Courier New" w:cs="Courier New"/>
    </w:rPr>
  </w:style>
  <w:style w:type="character" w:customStyle="1" w:styleId="WW8Num4z2">
    <w:name w:val="WW8Num4z2"/>
    <w:rsid w:val="00140201"/>
    <w:rPr>
      <w:rFonts w:ascii="Wingdings" w:hAnsi="Wingdings"/>
    </w:rPr>
  </w:style>
  <w:style w:type="character" w:customStyle="1" w:styleId="WW8Num6z0">
    <w:name w:val="WW8Num6z0"/>
    <w:rsid w:val="00140201"/>
    <w:rPr>
      <w:b w:val="0"/>
    </w:rPr>
  </w:style>
  <w:style w:type="character" w:customStyle="1" w:styleId="WW8Num8z0">
    <w:name w:val="WW8Num8z0"/>
    <w:rsid w:val="00140201"/>
    <w:rPr>
      <w:b w:val="0"/>
    </w:rPr>
  </w:style>
  <w:style w:type="character" w:customStyle="1" w:styleId="WW8Num15z0">
    <w:name w:val="WW8Num15z0"/>
    <w:rsid w:val="00140201"/>
    <w:rPr>
      <w:b w:val="0"/>
    </w:rPr>
  </w:style>
  <w:style w:type="character" w:customStyle="1" w:styleId="WW8Num19z0">
    <w:name w:val="WW8Num19z0"/>
    <w:rsid w:val="00140201"/>
    <w:rPr>
      <w:b w:val="0"/>
    </w:rPr>
  </w:style>
  <w:style w:type="character" w:customStyle="1" w:styleId="12">
    <w:name w:val="Основной шрифт абзаца1"/>
    <w:rsid w:val="00140201"/>
  </w:style>
  <w:style w:type="character" w:styleId="ad">
    <w:name w:val="page number"/>
    <w:basedOn w:val="12"/>
    <w:rsid w:val="00140201"/>
  </w:style>
  <w:style w:type="character" w:styleId="ae">
    <w:name w:val="Hyperlink"/>
    <w:rsid w:val="00140201"/>
    <w:rPr>
      <w:color w:val="0000FF"/>
      <w:u w:val="single"/>
    </w:rPr>
  </w:style>
  <w:style w:type="paragraph" w:customStyle="1" w:styleId="af">
    <w:name w:val="Заголовок"/>
    <w:basedOn w:val="a"/>
    <w:next w:val="a3"/>
    <w:rsid w:val="00140201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ar-SA"/>
    </w:rPr>
  </w:style>
  <w:style w:type="paragraph" w:styleId="af0">
    <w:name w:val="List"/>
    <w:basedOn w:val="a3"/>
    <w:rsid w:val="00140201"/>
    <w:pPr>
      <w:suppressAutoHyphens/>
      <w:spacing w:after="0"/>
      <w:jc w:val="both"/>
    </w:pPr>
    <w:rPr>
      <w:rFonts w:cs="Tahoma"/>
      <w:sz w:val="22"/>
      <w:lang w:eastAsia="ar-SA"/>
    </w:rPr>
  </w:style>
  <w:style w:type="paragraph" w:customStyle="1" w:styleId="13">
    <w:name w:val="Название1"/>
    <w:basedOn w:val="a"/>
    <w:rsid w:val="001402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ar-SA"/>
    </w:rPr>
  </w:style>
  <w:style w:type="paragraph" w:customStyle="1" w:styleId="14">
    <w:name w:val="Указатель1"/>
    <w:basedOn w:val="a"/>
    <w:rsid w:val="001402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f1">
    <w:name w:val="Body Text Indent"/>
    <w:basedOn w:val="a"/>
    <w:link w:val="af2"/>
    <w:rsid w:val="00140201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1402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40201"/>
    <w:pPr>
      <w:tabs>
        <w:tab w:val="left" w:pos="4253"/>
      </w:tabs>
      <w:suppressAutoHyphens/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1402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140201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endnote text"/>
    <w:basedOn w:val="a"/>
    <w:link w:val="af4"/>
    <w:rsid w:val="001402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1402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140201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5">
    <w:name w:val="Содержимое врезки"/>
    <w:basedOn w:val="a3"/>
    <w:rsid w:val="00140201"/>
    <w:pPr>
      <w:suppressAutoHyphens/>
      <w:spacing w:after="0"/>
      <w:jc w:val="both"/>
    </w:pPr>
    <w:rPr>
      <w:sz w:val="22"/>
      <w:lang w:eastAsia="ar-SA"/>
    </w:rPr>
  </w:style>
  <w:style w:type="paragraph" w:customStyle="1" w:styleId="af6">
    <w:name w:val="Содержимое таблицы"/>
    <w:basedOn w:val="a"/>
    <w:rsid w:val="001402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140201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List Paragraph"/>
    <w:basedOn w:val="a"/>
    <w:uiPriority w:val="34"/>
    <w:qFormat/>
    <w:rsid w:val="00140201"/>
    <w:pPr>
      <w:ind w:left="720"/>
      <w:contextualSpacing/>
    </w:pPr>
    <w:rPr>
      <w:rFonts w:ascii="Calibri" w:eastAsia="Calibri" w:hAnsi="Calibri" w:cs="Times New Roman"/>
    </w:rPr>
  </w:style>
  <w:style w:type="character" w:styleId="af9">
    <w:name w:val="FollowedHyperlink"/>
    <w:uiPriority w:val="99"/>
    <w:unhideWhenUsed/>
    <w:rsid w:val="00140201"/>
    <w:rPr>
      <w:color w:val="800080"/>
      <w:u w:val="single"/>
    </w:rPr>
  </w:style>
  <w:style w:type="paragraph" w:styleId="afa">
    <w:name w:val="Title"/>
    <w:basedOn w:val="a"/>
    <w:link w:val="afb"/>
    <w:qFormat/>
    <w:rsid w:val="001402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14020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23">
    <w:name w:val="Body Text Indent 2"/>
    <w:basedOn w:val="a"/>
    <w:link w:val="24"/>
    <w:rsid w:val="00140201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402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14020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Subtitle"/>
    <w:basedOn w:val="a"/>
    <w:link w:val="afd"/>
    <w:qFormat/>
    <w:rsid w:val="0014020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14020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15">
    <w:name w:val="Обычный1"/>
    <w:rsid w:val="0014020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5">
    <w:name w:val="List Bullet 2"/>
    <w:basedOn w:val="a"/>
    <w:autoRedefine/>
    <w:rsid w:val="00140201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14020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Balloon Text"/>
    <w:basedOn w:val="a"/>
    <w:link w:val="aff"/>
    <w:uiPriority w:val="99"/>
    <w:rsid w:val="001402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0"/>
    <w:link w:val="afe"/>
    <w:uiPriority w:val="99"/>
    <w:rsid w:val="001402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40201"/>
  </w:style>
  <w:style w:type="character" w:styleId="aff0">
    <w:name w:val="Emphasis"/>
    <w:qFormat/>
    <w:rsid w:val="00140201"/>
    <w:rPr>
      <w:i/>
      <w:iCs/>
    </w:rPr>
  </w:style>
  <w:style w:type="character" w:styleId="aff1">
    <w:name w:val="annotation reference"/>
    <w:rsid w:val="00140201"/>
    <w:rPr>
      <w:sz w:val="16"/>
      <w:szCs w:val="16"/>
    </w:rPr>
  </w:style>
  <w:style w:type="character" w:styleId="aff2">
    <w:name w:val="footnote reference"/>
    <w:rsid w:val="00140201"/>
    <w:rPr>
      <w:vertAlign w:val="superscript"/>
    </w:rPr>
  </w:style>
  <w:style w:type="paragraph" w:customStyle="1" w:styleId="Default">
    <w:name w:val="Default"/>
    <w:rsid w:val="001402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SBPrinciple">
    <w:name w:val="IASB Principle"/>
    <w:basedOn w:val="Default"/>
    <w:next w:val="Default"/>
    <w:rsid w:val="00140201"/>
  </w:style>
  <w:style w:type="paragraph" w:styleId="aff3">
    <w:name w:val="annotation text"/>
    <w:basedOn w:val="a"/>
    <w:link w:val="aff4"/>
    <w:rsid w:val="00140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rsid w:val="00140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No Spacing"/>
    <w:uiPriority w:val="1"/>
    <w:qFormat/>
    <w:rsid w:val="0014020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140201"/>
  </w:style>
  <w:style w:type="character" w:styleId="aff6">
    <w:name w:val="Strong"/>
    <w:uiPriority w:val="22"/>
    <w:qFormat/>
    <w:rsid w:val="00140201"/>
    <w:rPr>
      <w:b/>
      <w:bCs/>
    </w:rPr>
  </w:style>
  <w:style w:type="character" w:customStyle="1" w:styleId="aff7">
    <w:name w:val="Основной текст_"/>
    <w:link w:val="71"/>
    <w:rsid w:val="00140201"/>
    <w:rPr>
      <w:rFonts w:eastAsia="Times New Roman"/>
      <w:shd w:val="clear" w:color="auto" w:fill="FFFFFF"/>
    </w:rPr>
  </w:style>
  <w:style w:type="paragraph" w:customStyle="1" w:styleId="71">
    <w:name w:val="Основной текст7"/>
    <w:basedOn w:val="a"/>
    <w:link w:val="aff7"/>
    <w:rsid w:val="00140201"/>
    <w:pPr>
      <w:widowControl w:val="0"/>
      <w:shd w:val="clear" w:color="auto" w:fill="FFFFFF"/>
      <w:spacing w:before="1140" w:after="0" w:line="0" w:lineRule="atLeast"/>
      <w:ind w:hanging="440"/>
    </w:pPr>
    <w:rPr>
      <w:rFonts w:eastAsia="Times New Roman"/>
    </w:rPr>
  </w:style>
  <w:style w:type="character" w:customStyle="1" w:styleId="Arial95pt">
    <w:name w:val="Основной текст + Arial;9;5 pt"/>
    <w:rsid w:val="001402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75pt">
    <w:name w:val="Основной текст + Arial;7;5 pt;Полужирный"/>
    <w:rsid w:val="0014020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rial95pt0">
    <w:name w:val="Основной текст + Arial;9;5 pt;Полужирный"/>
    <w:rsid w:val="0014020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8pt">
    <w:name w:val="Основной текст + Arial;8 pt"/>
    <w:rsid w:val="001402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16">
    <w:name w:val="Сетка таблицы1"/>
    <w:basedOn w:val="a1"/>
    <w:next w:val="ac"/>
    <w:rsid w:val="001402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ветлая заливка1"/>
    <w:basedOn w:val="a1"/>
    <w:uiPriority w:val="60"/>
    <w:rsid w:val="0014020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0201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140201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14020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40201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4020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4020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40201"/>
    <w:pPr>
      <w:tabs>
        <w:tab w:val="num" w:pos="0"/>
      </w:tabs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140201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402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2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4020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14020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4020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4020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4020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402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140201"/>
  </w:style>
  <w:style w:type="paragraph" w:styleId="21">
    <w:name w:val="Body Text 2"/>
    <w:basedOn w:val="a"/>
    <w:link w:val="22"/>
    <w:rsid w:val="001402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40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1402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40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14020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14020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7">
    <w:name w:val="footer"/>
    <w:basedOn w:val="a"/>
    <w:link w:val="a8"/>
    <w:uiPriority w:val="99"/>
    <w:rsid w:val="00140201"/>
    <w:pPr>
      <w:widowControl w:val="0"/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140201"/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paragraph" w:styleId="a9">
    <w:name w:val="Normal (Web)"/>
    <w:basedOn w:val="a"/>
    <w:uiPriority w:val="99"/>
    <w:rsid w:val="0014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40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402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rsid w:val="00140201"/>
    <w:pPr>
      <w:widowControl w:val="0"/>
      <w:snapToGrid w:val="0"/>
      <w:spacing w:after="0" w:line="240" w:lineRule="auto"/>
    </w:pPr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character" w:customStyle="1" w:styleId="ab">
    <w:name w:val="Текст сноски Знак"/>
    <w:basedOn w:val="a0"/>
    <w:link w:val="aa"/>
    <w:rsid w:val="00140201"/>
    <w:rPr>
      <w:rFonts w:ascii="Times New Roman" w:eastAsia="SimSun" w:hAnsi="Times New Roman" w:cs="Times New Roman"/>
      <w:kern w:val="2"/>
      <w:sz w:val="18"/>
      <w:szCs w:val="18"/>
      <w:lang w:eastAsia="zh-CN"/>
    </w:rPr>
  </w:style>
  <w:style w:type="table" w:styleId="ac">
    <w:name w:val="Table Grid"/>
    <w:basedOn w:val="a1"/>
    <w:rsid w:val="00140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0">
    <w:name w:val="WW8Num4z0"/>
    <w:rsid w:val="00140201"/>
    <w:rPr>
      <w:rFonts w:ascii="Symbol" w:hAnsi="Symbol"/>
    </w:rPr>
  </w:style>
  <w:style w:type="character" w:customStyle="1" w:styleId="WW8Num4z1">
    <w:name w:val="WW8Num4z1"/>
    <w:rsid w:val="00140201"/>
    <w:rPr>
      <w:rFonts w:ascii="Courier New" w:hAnsi="Courier New" w:cs="Courier New"/>
    </w:rPr>
  </w:style>
  <w:style w:type="character" w:customStyle="1" w:styleId="WW8Num4z2">
    <w:name w:val="WW8Num4z2"/>
    <w:rsid w:val="00140201"/>
    <w:rPr>
      <w:rFonts w:ascii="Wingdings" w:hAnsi="Wingdings"/>
    </w:rPr>
  </w:style>
  <w:style w:type="character" w:customStyle="1" w:styleId="WW8Num6z0">
    <w:name w:val="WW8Num6z0"/>
    <w:rsid w:val="00140201"/>
    <w:rPr>
      <w:b w:val="0"/>
    </w:rPr>
  </w:style>
  <w:style w:type="character" w:customStyle="1" w:styleId="WW8Num8z0">
    <w:name w:val="WW8Num8z0"/>
    <w:rsid w:val="00140201"/>
    <w:rPr>
      <w:b w:val="0"/>
    </w:rPr>
  </w:style>
  <w:style w:type="character" w:customStyle="1" w:styleId="WW8Num15z0">
    <w:name w:val="WW8Num15z0"/>
    <w:rsid w:val="00140201"/>
    <w:rPr>
      <w:b w:val="0"/>
    </w:rPr>
  </w:style>
  <w:style w:type="character" w:customStyle="1" w:styleId="WW8Num19z0">
    <w:name w:val="WW8Num19z0"/>
    <w:rsid w:val="00140201"/>
    <w:rPr>
      <w:b w:val="0"/>
    </w:rPr>
  </w:style>
  <w:style w:type="character" w:customStyle="1" w:styleId="12">
    <w:name w:val="Основной шрифт абзаца1"/>
    <w:rsid w:val="00140201"/>
  </w:style>
  <w:style w:type="character" w:styleId="ad">
    <w:name w:val="page number"/>
    <w:basedOn w:val="12"/>
    <w:rsid w:val="00140201"/>
  </w:style>
  <w:style w:type="character" w:styleId="ae">
    <w:name w:val="Hyperlink"/>
    <w:rsid w:val="00140201"/>
    <w:rPr>
      <w:color w:val="0000FF"/>
      <w:u w:val="single"/>
    </w:rPr>
  </w:style>
  <w:style w:type="paragraph" w:customStyle="1" w:styleId="af">
    <w:name w:val="Заголовок"/>
    <w:basedOn w:val="a"/>
    <w:next w:val="a3"/>
    <w:rsid w:val="00140201"/>
    <w:pPr>
      <w:keepNext/>
      <w:suppressAutoHyphens/>
      <w:spacing w:before="240" w:after="120" w:line="240" w:lineRule="auto"/>
    </w:pPr>
    <w:rPr>
      <w:rFonts w:ascii="Times New Roman" w:eastAsia="Lucida Sans Unicode" w:hAnsi="Times New Roman" w:cs="Tahoma"/>
      <w:sz w:val="28"/>
      <w:szCs w:val="28"/>
      <w:lang w:eastAsia="ar-SA"/>
    </w:rPr>
  </w:style>
  <w:style w:type="paragraph" w:styleId="af0">
    <w:name w:val="List"/>
    <w:basedOn w:val="a3"/>
    <w:rsid w:val="00140201"/>
    <w:pPr>
      <w:suppressAutoHyphens/>
      <w:spacing w:after="0"/>
      <w:jc w:val="both"/>
    </w:pPr>
    <w:rPr>
      <w:rFonts w:cs="Tahoma"/>
      <w:sz w:val="22"/>
      <w:lang w:eastAsia="ar-SA"/>
    </w:rPr>
  </w:style>
  <w:style w:type="paragraph" w:customStyle="1" w:styleId="13">
    <w:name w:val="Название1"/>
    <w:basedOn w:val="a"/>
    <w:rsid w:val="001402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ar-SA"/>
    </w:rPr>
  </w:style>
  <w:style w:type="paragraph" w:customStyle="1" w:styleId="14">
    <w:name w:val="Указатель1"/>
    <w:basedOn w:val="a"/>
    <w:rsid w:val="0014020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f1">
    <w:name w:val="Body Text Indent"/>
    <w:basedOn w:val="a"/>
    <w:link w:val="af2"/>
    <w:rsid w:val="00140201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1402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40201"/>
    <w:pPr>
      <w:tabs>
        <w:tab w:val="left" w:pos="4253"/>
      </w:tabs>
      <w:suppressAutoHyphens/>
      <w:spacing w:after="0" w:line="360" w:lineRule="auto"/>
      <w:ind w:firstLine="567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1402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Основной текст 21"/>
    <w:basedOn w:val="a"/>
    <w:rsid w:val="00140201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3">
    <w:name w:val="endnote text"/>
    <w:basedOn w:val="a"/>
    <w:link w:val="af4"/>
    <w:rsid w:val="001402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1402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140201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5">
    <w:name w:val="Содержимое врезки"/>
    <w:basedOn w:val="a3"/>
    <w:rsid w:val="00140201"/>
    <w:pPr>
      <w:suppressAutoHyphens/>
      <w:spacing w:after="0"/>
      <w:jc w:val="both"/>
    </w:pPr>
    <w:rPr>
      <w:sz w:val="22"/>
      <w:lang w:eastAsia="ar-SA"/>
    </w:rPr>
  </w:style>
  <w:style w:type="paragraph" w:customStyle="1" w:styleId="af6">
    <w:name w:val="Содержимое таблицы"/>
    <w:basedOn w:val="a"/>
    <w:rsid w:val="001402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140201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02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List Paragraph"/>
    <w:basedOn w:val="a"/>
    <w:uiPriority w:val="34"/>
    <w:qFormat/>
    <w:rsid w:val="00140201"/>
    <w:pPr>
      <w:ind w:left="720"/>
      <w:contextualSpacing/>
    </w:pPr>
    <w:rPr>
      <w:rFonts w:ascii="Calibri" w:eastAsia="Calibri" w:hAnsi="Calibri" w:cs="Times New Roman"/>
    </w:rPr>
  </w:style>
  <w:style w:type="character" w:styleId="af9">
    <w:name w:val="FollowedHyperlink"/>
    <w:uiPriority w:val="99"/>
    <w:unhideWhenUsed/>
    <w:rsid w:val="00140201"/>
    <w:rPr>
      <w:color w:val="800080"/>
      <w:u w:val="single"/>
    </w:rPr>
  </w:style>
  <w:style w:type="paragraph" w:styleId="afa">
    <w:name w:val="Title"/>
    <w:basedOn w:val="a"/>
    <w:link w:val="afb"/>
    <w:qFormat/>
    <w:rsid w:val="001402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140201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paragraph" w:styleId="23">
    <w:name w:val="Body Text Indent 2"/>
    <w:basedOn w:val="a"/>
    <w:link w:val="24"/>
    <w:rsid w:val="00140201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1402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140201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Subtitle"/>
    <w:basedOn w:val="a"/>
    <w:link w:val="afd"/>
    <w:qFormat/>
    <w:rsid w:val="0014020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14020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15">
    <w:name w:val="Обычный1"/>
    <w:rsid w:val="0014020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5">
    <w:name w:val="List Bullet 2"/>
    <w:basedOn w:val="a"/>
    <w:autoRedefine/>
    <w:rsid w:val="00140201"/>
    <w:pPr>
      <w:tabs>
        <w:tab w:val="num" w:pos="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14020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1402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Balloon Text"/>
    <w:basedOn w:val="a"/>
    <w:link w:val="aff"/>
    <w:uiPriority w:val="99"/>
    <w:rsid w:val="001402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0"/>
    <w:link w:val="afe"/>
    <w:uiPriority w:val="99"/>
    <w:rsid w:val="001402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40201"/>
  </w:style>
  <w:style w:type="character" w:styleId="aff0">
    <w:name w:val="Emphasis"/>
    <w:qFormat/>
    <w:rsid w:val="00140201"/>
    <w:rPr>
      <w:i/>
      <w:iCs/>
    </w:rPr>
  </w:style>
  <w:style w:type="character" w:styleId="aff1">
    <w:name w:val="annotation reference"/>
    <w:rsid w:val="00140201"/>
    <w:rPr>
      <w:sz w:val="16"/>
      <w:szCs w:val="16"/>
    </w:rPr>
  </w:style>
  <w:style w:type="character" w:styleId="aff2">
    <w:name w:val="footnote reference"/>
    <w:rsid w:val="00140201"/>
    <w:rPr>
      <w:vertAlign w:val="superscript"/>
    </w:rPr>
  </w:style>
  <w:style w:type="paragraph" w:customStyle="1" w:styleId="Default">
    <w:name w:val="Default"/>
    <w:rsid w:val="001402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SBPrinciple">
    <w:name w:val="IASB Principle"/>
    <w:basedOn w:val="Default"/>
    <w:next w:val="Default"/>
    <w:rsid w:val="00140201"/>
  </w:style>
  <w:style w:type="paragraph" w:styleId="aff3">
    <w:name w:val="annotation text"/>
    <w:basedOn w:val="a"/>
    <w:link w:val="aff4"/>
    <w:rsid w:val="00140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0"/>
    <w:link w:val="aff3"/>
    <w:rsid w:val="001402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No Spacing"/>
    <w:uiPriority w:val="1"/>
    <w:qFormat/>
    <w:rsid w:val="00140201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140201"/>
  </w:style>
  <w:style w:type="character" w:styleId="aff6">
    <w:name w:val="Strong"/>
    <w:uiPriority w:val="22"/>
    <w:qFormat/>
    <w:rsid w:val="00140201"/>
    <w:rPr>
      <w:b/>
      <w:bCs/>
    </w:rPr>
  </w:style>
  <w:style w:type="character" w:customStyle="1" w:styleId="aff7">
    <w:name w:val="Основной текст_"/>
    <w:link w:val="71"/>
    <w:rsid w:val="00140201"/>
    <w:rPr>
      <w:rFonts w:eastAsia="Times New Roman"/>
      <w:shd w:val="clear" w:color="auto" w:fill="FFFFFF"/>
    </w:rPr>
  </w:style>
  <w:style w:type="paragraph" w:customStyle="1" w:styleId="71">
    <w:name w:val="Основной текст7"/>
    <w:basedOn w:val="a"/>
    <w:link w:val="aff7"/>
    <w:rsid w:val="00140201"/>
    <w:pPr>
      <w:widowControl w:val="0"/>
      <w:shd w:val="clear" w:color="auto" w:fill="FFFFFF"/>
      <w:spacing w:before="1140" w:after="0" w:line="0" w:lineRule="atLeast"/>
      <w:ind w:hanging="440"/>
    </w:pPr>
    <w:rPr>
      <w:rFonts w:eastAsia="Times New Roman"/>
    </w:rPr>
  </w:style>
  <w:style w:type="character" w:customStyle="1" w:styleId="Arial95pt">
    <w:name w:val="Основной текст + Arial;9;5 pt"/>
    <w:rsid w:val="001402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75pt">
    <w:name w:val="Основной текст + Arial;7;5 pt;Полужирный"/>
    <w:rsid w:val="0014020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Arial95pt0">
    <w:name w:val="Основной текст + Arial;9;5 pt;Полужирный"/>
    <w:rsid w:val="0014020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8pt">
    <w:name w:val="Основной текст + Arial;8 pt"/>
    <w:rsid w:val="001402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table" w:customStyle="1" w:styleId="16">
    <w:name w:val="Сетка таблицы1"/>
    <w:basedOn w:val="a1"/>
    <w:next w:val="ac"/>
    <w:rsid w:val="001402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ветлая заливка1"/>
    <w:basedOn w:val="a1"/>
    <w:uiPriority w:val="60"/>
    <w:rsid w:val="00140201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4670</Words>
  <Characters>26623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</cp:revision>
  <dcterms:created xsi:type="dcterms:W3CDTF">2023-11-30T18:35:00Z</dcterms:created>
  <dcterms:modified xsi:type="dcterms:W3CDTF">2023-11-30T18:37:00Z</dcterms:modified>
</cp:coreProperties>
</file>